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55C0FC" w14:textId="636D0234" w:rsidR="00C37804" w:rsidRPr="00C37804" w:rsidRDefault="00C37804" w:rsidP="00C37804">
      <w:pPr>
        <w:spacing w:line="360" w:lineRule="auto"/>
        <w:jc w:val="right"/>
        <w:rPr>
          <w:rFonts w:cs="Arial"/>
          <w:b/>
          <w:bCs/>
          <w:szCs w:val="20"/>
        </w:rPr>
      </w:pPr>
      <w:r>
        <w:rPr>
          <w:rFonts w:cs="Arial"/>
          <w:b/>
          <w:bCs/>
          <w:szCs w:val="20"/>
        </w:rPr>
        <w:t xml:space="preserve">Příloha </w:t>
      </w:r>
      <w:r w:rsidR="00F2583E">
        <w:rPr>
          <w:rFonts w:cs="Arial"/>
          <w:b/>
          <w:bCs/>
          <w:szCs w:val="20"/>
        </w:rPr>
        <w:t>8</w:t>
      </w:r>
    </w:p>
    <w:p w14:paraId="415CF804" w14:textId="756D11A9" w:rsidR="005A462A" w:rsidRPr="004A0AD6" w:rsidRDefault="005A462A" w:rsidP="00767696">
      <w:pPr>
        <w:spacing w:line="360" w:lineRule="auto"/>
        <w:jc w:val="center"/>
        <w:rPr>
          <w:rFonts w:cs="Arial"/>
          <w:b/>
          <w:bCs/>
          <w:sz w:val="28"/>
          <w:szCs w:val="28"/>
        </w:rPr>
      </w:pPr>
      <w:r w:rsidRPr="004A0AD6">
        <w:rPr>
          <w:rFonts w:cs="Arial"/>
          <w:b/>
          <w:bCs/>
          <w:sz w:val="28"/>
          <w:szCs w:val="28"/>
        </w:rPr>
        <w:t xml:space="preserve">Úrazové pojištění členů Městské policie a členů </w:t>
      </w:r>
      <w:r w:rsidR="00FA5CB4">
        <w:rPr>
          <w:rFonts w:cs="Arial"/>
          <w:b/>
          <w:bCs/>
          <w:sz w:val="28"/>
          <w:szCs w:val="28"/>
        </w:rPr>
        <w:t>j</w:t>
      </w:r>
      <w:r w:rsidRPr="004A0AD6">
        <w:rPr>
          <w:rFonts w:cs="Arial"/>
          <w:b/>
          <w:bCs/>
          <w:sz w:val="28"/>
          <w:szCs w:val="28"/>
        </w:rPr>
        <w:t>ednot</w:t>
      </w:r>
      <w:r w:rsidR="00FA5CB4">
        <w:rPr>
          <w:rFonts w:cs="Arial"/>
          <w:b/>
          <w:bCs/>
          <w:sz w:val="28"/>
          <w:szCs w:val="28"/>
        </w:rPr>
        <w:t>ek</w:t>
      </w:r>
      <w:r w:rsidRPr="004A0AD6">
        <w:rPr>
          <w:rFonts w:cs="Arial"/>
          <w:b/>
          <w:bCs/>
          <w:sz w:val="28"/>
          <w:szCs w:val="28"/>
        </w:rPr>
        <w:t xml:space="preserve"> sboru dobrovolných hasičů</w:t>
      </w:r>
      <w:r w:rsidR="00115DFF">
        <w:rPr>
          <w:rFonts w:cs="Arial"/>
          <w:b/>
          <w:bCs/>
          <w:sz w:val="28"/>
          <w:szCs w:val="28"/>
        </w:rPr>
        <w:t xml:space="preserve"> – technické podmínky</w:t>
      </w:r>
    </w:p>
    <w:p w14:paraId="26A38886" w14:textId="77777777" w:rsidR="005A462A" w:rsidRPr="004A0AD6" w:rsidRDefault="005A462A" w:rsidP="005A462A">
      <w:pPr>
        <w:spacing w:line="360" w:lineRule="auto"/>
        <w:ind w:left="720"/>
        <w:jc w:val="both"/>
        <w:rPr>
          <w:rFonts w:cs="Arial"/>
          <w:b/>
          <w:bCs/>
          <w:sz w:val="28"/>
          <w:szCs w:val="28"/>
        </w:rPr>
      </w:pPr>
    </w:p>
    <w:p w14:paraId="6AB932B3" w14:textId="77777777" w:rsidR="00280F56" w:rsidRPr="004A0AD6" w:rsidRDefault="005A462A" w:rsidP="00CB3F78">
      <w:pPr>
        <w:rPr>
          <w:rFonts w:cs="Arial"/>
          <w:bCs/>
          <w:sz w:val="22"/>
          <w:szCs w:val="22"/>
        </w:rPr>
      </w:pPr>
      <w:r w:rsidRPr="004A0AD6">
        <w:rPr>
          <w:rFonts w:cs="Arial"/>
          <w:bCs/>
          <w:sz w:val="22"/>
          <w:szCs w:val="22"/>
        </w:rPr>
        <w:t>Jedná se o úrazové pojištění příslušníků městské policie v </w:t>
      </w:r>
      <w:r w:rsidR="00CB3F78" w:rsidRPr="004A0AD6">
        <w:rPr>
          <w:rFonts w:cs="Arial"/>
          <w:bCs/>
          <w:sz w:val="22"/>
          <w:szCs w:val="22"/>
        </w:rPr>
        <w:t>Blansku</w:t>
      </w:r>
      <w:r w:rsidRPr="004A0AD6">
        <w:rPr>
          <w:rFonts w:cs="Arial"/>
          <w:bCs/>
          <w:sz w:val="22"/>
          <w:szCs w:val="22"/>
        </w:rPr>
        <w:t xml:space="preserve"> a členů jednot</w:t>
      </w:r>
      <w:r w:rsidR="00CB3F78" w:rsidRPr="004A0AD6">
        <w:rPr>
          <w:rFonts w:cs="Arial"/>
          <w:bCs/>
          <w:sz w:val="22"/>
          <w:szCs w:val="22"/>
        </w:rPr>
        <w:t>e</w:t>
      </w:r>
      <w:r w:rsidRPr="004A0AD6">
        <w:rPr>
          <w:rFonts w:cs="Arial"/>
          <w:bCs/>
          <w:sz w:val="22"/>
          <w:szCs w:val="22"/>
        </w:rPr>
        <w:t xml:space="preserve">k sboru </w:t>
      </w:r>
      <w:r w:rsidR="00CB3F78" w:rsidRPr="004A0AD6">
        <w:rPr>
          <w:rFonts w:cs="Arial"/>
          <w:bCs/>
          <w:sz w:val="22"/>
          <w:szCs w:val="22"/>
        </w:rPr>
        <w:t>d</w:t>
      </w:r>
      <w:r w:rsidRPr="004A0AD6">
        <w:rPr>
          <w:rFonts w:cs="Arial"/>
          <w:bCs/>
          <w:sz w:val="22"/>
          <w:szCs w:val="22"/>
        </w:rPr>
        <w:t>obrovolných hasičů v</w:t>
      </w:r>
      <w:r w:rsidR="00280F56" w:rsidRPr="004A0AD6">
        <w:rPr>
          <w:rFonts w:cs="Arial"/>
          <w:bCs/>
          <w:sz w:val="22"/>
          <w:szCs w:val="22"/>
        </w:rPr>
        <w:t xml:space="preserve"> městských částech </w:t>
      </w:r>
      <w:r w:rsidR="00CB3F78" w:rsidRPr="004A0AD6">
        <w:rPr>
          <w:rFonts w:cs="Arial"/>
          <w:sz w:val="22"/>
          <w:szCs w:val="22"/>
        </w:rPr>
        <w:t>Těchov, Obůr</w:t>
      </w:r>
      <w:r w:rsidR="00280F56" w:rsidRPr="004A0AD6">
        <w:rPr>
          <w:rFonts w:cs="Arial"/>
          <w:sz w:val="22"/>
          <w:szCs w:val="22"/>
        </w:rPr>
        <w:t>ka</w:t>
      </w:r>
      <w:r w:rsidR="00CB3F78" w:rsidRPr="004A0AD6">
        <w:rPr>
          <w:rFonts w:cs="Arial"/>
          <w:sz w:val="22"/>
          <w:szCs w:val="22"/>
        </w:rPr>
        <w:t>, Horní Lhot</w:t>
      </w:r>
      <w:r w:rsidR="00280F56" w:rsidRPr="004A0AD6">
        <w:rPr>
          <w:rFonts w:cs="Arial"/>
          <w:sz w:val="22"/>
          <w:szCs w:val="22"/>
        </w:rPr>
        <w:t>a</w:t>
      </w:r>
      <w:r w:rsidR="00CB3F78" w:rsidRPr="004A0AD6">
        <w:rPr>
          <w:rFonts w:cs="Arial"/>
          <w:sz w:val="22"/>
          <w:szCs w:val="22"/>
        </w:rPr>
        <w:t>, Dolní Lhot</w:t>
      </w:r>
      <w:r w:rsidR="00280F56" w:rsidRPr="004A0AD6">
        <w:rPr>
          <w:rFonts w:cs="Arial"/>
          <w:sz w:val="22"/>
          <w:szCs w:val="22"/>
        </w:rPr>
        <w:t>a</w:t>
      </w:r>
      <w:r w:rsidR="00CB3F78" w:rsidRPr="004A0AD6">
        <w:rPr>
          <w:rFonts w:cs="Arial"/>
          <w:sz w:val="22"/>
          <w:szCs w:val="22"/>
        </w:rPr>
        <w:t>, Olešn</w:t>
      </w:r>
      <w:r w:rsidR="00280F56" w:rsidRPr="004A0AD6">
        <w:rPr>
          <w:rFonts w:cs="Arial"/>
          <w:sz w:val="22"/>
          <w:szCs w:val="22"/>
        </w:rPr>
        <w:t>á</w:t>
      </w:r>
      <w:r w:rsidR="00CB3F78" w:rsidRPr="004A0AD6">
        <w:rPr>
          <w:rFonts w:cs="Arial"/>
          <w:sz w:val="22"/>
          <w:szCs w:val="22"/>
        </w:rPr>
        <w:t xml:space="preserve">, </w:t>
      </w:r>
      <w:proofErr w:type="spellStart"/>
      <w:r w:rsidR="00CB3F78" w:rsidRPr="004A0AD6">
        <w:rPr>
          <w:rFonts w:cs="Arial"/>
          <w:sz w:val="22"/>
          <w:szCs w:val="22"/>
        </w:rPr>
        <w:t>Klepačov</w:t>
      </w:r>
      <w:proofErr w:type="spellEnd"/>
      <w:r w:rsidR="00CB3F78" w:rsidRPr="004A0AD6">
        <w:rPr>
          <w:rFonts w:cs="Arial"/>
          <w:sz w:val="22"/>
          <w:szCs w:val="22"/>
        </w:rPr>
        <w:t xml:space="preserve"> a Lažánk</w:t>
      </w:r>
      <w:r w:rsidR="00280F56" w:rsidRPr="004A0AD6">
        <w:rPr>
          <w:rFonts w:cs="Arial"/>
          <w:sz w:val="22"/>
          <w:szCs w:val="22"/>
        </w:rPr>
        <w:t>y</w:t>
      </w:r>
      <w:r w:rsidR="00CB3F78" w:rsidRPr="004A0AD6">
        <w:rPr>
          <w:rFonts w:cs="Arial"/>
          <w:sz w:val="22"/>
          <w:szCs w:val="22"/>
        </w:rPr>
        <w:t>.</w:t>
      </w:r>
      <w:r w:rsidRPr="004A0AD6">
        <w:rPr>
          <w:rFonts w:cs="Arial"/>
          <w:bCs/>
          <w:sz w:val="22"/>
          <w:szCs w:val="22"/>
        </w:rPr>
        <w:t xml:space="preserve"> </w:t>
      </w:r>
    </w:p>
    <w:p w14:paraId="6CDBD719" w14:textId="77777777" w:rsidR="00523F24" w:rsidRDefault="00523F24" w:rsidP="00CB3F78">
      <w:pPr>
        <w:rPr>
          <w:rFonts w:cs="Arial"/>
          <w:b/>
          <w:sz w:val="22"/>
          <w:szCs w:val="22"/>
        </w:rPr>
      </w:pPr>
    </w:p>
    <w:p w14:paraId="5DDAFBCE" w14:textId="17802222" w:rsidR="005A462A" w:rsidRPr="00523F24" w:rsidRDefault="005A462A" w:rsidP="00CB3F78">
      <w:pPr>
        <w:rPr>
          <w:rFonts w:cs="Arial"/>
          <w:b/>
          <w:sz w:val="22"/>
          <w:szCs w:val="22"/>
        </w:rPr>
      </w:pPr>
      <w:r w:rsidRPr="00523F24">
        <w:rPr>
          <w:rFonts w:cs="Arial"/>
          <w:b/>
          <w:sz w:val="22"/>
          <w:szCs w:val="22"/>
        </w:rPr>
        <w:t xml:space="preserve">Celkový počet všech pojištěných osob je </w:t>
      </w:r>
      <w:r w:rsidR="00CB3F78" w:rsidRPr="00523F24">
        <w:rPr>
          <w:rFonts w:cs="Arial"/>
          <w:b/>
          <w:sz w:val="22"/>
          <w:szCs w:val="22"/>
        </w:rPr>
        <w:t>9</w:t>
      </w:r>
      <w:r w:rsidR="004D1554" w:rsidRPr="00523F24">
        <w:rPr>
          <w:rFonts w:cs="Arial"/>
          <w:b/>
          <w:sz w:val="22"/>
          <w:szCs w:val="22"/>
        </w:rPr>
        <w:t>0</w:t>
      </w:r>
      <w:r w:rsidR="00CB3F78" w:rsidRPr="00523F24">
        <w:rPr>
          <w:rFonts w:cs="Arial"/>
          <w:b/>
          <w:sz w:val="22"/>
          <w:szCs w:val="22"/>
        </w:rPr>
        <w:t>.</w:t>
      </w:r>
      <w:r w:rsidRPr="00523F24">
        <w:rPr>
          <w:rFonts w:cs="Arial"/>
          <w:b/>
          <w:sz w:val="22"/>
          <w:szCs w:val="22"/>
        </w:rPr>
        <w:t xml:space="preserve">  Z toho je </w:t>
      </w:r>
      <w:r w:rsidR="004D1554" w:rsidRPr="00523F24">
        <w:rPr>
          <w:rFonts w:cs="Arial"/>
          <w:b/>
          <w:sz w:val="22"/>
          <w:szCs w:val="22"/>
        </w:rPr>
        <w:t>20</w:t>
      </w:r>
      <w:r w:rsidRPr="00523F24">
        <w:rPr>
          <w:rFonts w:cs="Arial"/>
          <w:b/>
          <w:sz w:val="22"/>
          <w:szCs w:val="22"/>
        </w:rPr>
        <w:t xml:space="preserve"> příslušníků městské policie</w:t>
      </w:r>
      <w:r w:rsidR="00FA5CB4">
        <w:rPr>
          <w:rFonts w:cs="Arial"/>
          <w:b/>
          <w:sz w:val="22"/>
          <w:szCs w:val="22"/>
        </w:rPr>
        <w:t xml:space="preserve"> (MP)</w:t>
      </w:r>
      <w:r w:rsidRPr="00523F24">
        <w:rPr>
          <w:rFonts w:cs="Arial"/>
          <w:b/>
          <w:sz w:val="22"/>
          <w:szCs w:val="22"/>
        </w:rPr>
        <w:t xml:space="preserve"> a </w:t>
      </w:r>
      <w:r w:rsidR="00CB3F78" w:rsidRPr="00523F24">
        <w:rPr>
          <w:rFonts w:cs="Arial"/>
          <w:b/>
          <w:sz w:val="22"/>
          <w:szCs w:val="22"/>
        </w:rPr>
        <w:t>7</w:t>
      </w:r>
      <w:r w:rsidR="004D1554" w:rsidRPr="00523F24">
        <w:rPr>
          <w:rFonts w:cs="Arial"/>
          <w:b/>
          <w:sz w:val="22"/>
          <w:szCs w:val="22"/>
        </w:rPr>
        <w:t>0</w:t>
      </w:r>
      <w:r w:rsidR="00CB3F78" w:rsidRPr="00523F24">
        <w:rPr>
          <w:rFonts w:cs="Arial"/>
          <w:b/>
          <w:sz w:val="22"/>
          <w:szCs w:val="22"/>
        </w:rPr>
        <w:t xml:space="preserve"> </w:t>
      </w:r>
      <w:r w:rsidRPr="00523F24">
        <w:rPr>
          <w:rFonts w:cs="Arial"/>
          <w:b/>
          <w:sz w:val="22"/>
          <w:szCs w:val="22"/>
        </w:rPr>
        <w:t>členů jedno</w:t>
      </w:r>
      <w:r w:rsidR="00FA5CB4">
        <w:rPr>
          <w:rFonts w:cs="Arial"/>
          <w:b/>
          <w:sz w:val="22"/>
          <w:szCs w:val="22"/>
        </w:rPr>
        <w:t>tek</w:t>
      </w:r>
      <w:r w:rsidRPr="00523F24">
        <w:rPr>
          <w:rFonts w:cs="Arial"/>
          <w:b/>
          <w:sz w:val="22"/>
          <w:szCs w:val="22"/>
        </w:rPr>
        <w:t xml:space="preserve"> sboru dobrovolných hasičů</w:t>
      </w:r>
      <w:r w:rsidR="00FA5CB4">
        <w:rPr>
          <w:rFonts w:cs="Arial"/>
          <w:b/>
          <w:sz w:val="22"/>
          <w:szCs w:val="22"/>
        </w:rPr>
        <w:t xml:space="preserve"> (JSDH)</w:t>
      </w:r>
      <w:r w:rsidRPr="00523F24">
        <w:rPr>
          <w:rFonts w:cs="Arial"/>
          <w:b/>
          <w:sz w:val="22"/>
          <w:szCs w:val="22"/>
        </w:rPr>
        <w:t>.</w:t>
      </w:r>
    </w:p>
    <w:p w14:paraId="34FAF490" w14:textId="77777777" w:rsidR="005A462A" w:rsidRPr="004A0AD6" w:rsidRDefault="005A462A" w:rsidP="005A462A">
      <w:pPr>
        <w:spacing w:line="360" w:lineRule="auto"/>
        <w:ind w:left="720"/>
        <w:jc w:val="both"/>
        <w:rPr>
          <w:rFonts w:cs="Arial"/>
          <w:bCs/>
          <w:szCs w:val="20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663"/>
        <w:gridCol w:w="2409"/>
      </w:tblGrid>
      <w:tr w:rsidR="004A0AD6" w:rsidRPr="004A0AD6" w14:paraId="1A0BC060" w14:textId="77777777" w:rsidTr="004F40D5">
        <w:trPr>
          <w:trHeight w:val="447"/>
        </w:trPr>
        <w:tc>
          <w:tcPr>
            <w:tcW w:w="6663" w:type="dxa"/>
            <w:shd w:val="clear" w:color="auto" w:fill="D9E2F3" w:themeFill="accent5" w:themeFillTint="33"/>
            <w:vAlign w:val="center"/>
          </w:tcPr>
          <w:p w14:paraId="35127013" w14:textId="77777777" w:rsidR="005A462A" w:rsidRPr="004A0AD6" w:rsidRDefault="005A462A" w:rsidP="004C4385">
            <w:pPr>
              <w:pStyle w:val="perex"/>
              <w:spacing w:before="0" w:line="240" w:lineRule="auto"/>
              <w:rPr>
                <w:rFonts w:cs="Arial"/>
                <w:sz w:val="19"/>
                <w:szCs w:val="19"/>
              </w:rPr>
            </w:pPr>
            <w:r w:rsidRPr="004A0AD6">
              <w:rPr>
                <w:rFonts w:cs="Arial"/>
                <w:sz w:val="19"/>
                <w:szCs w:val="19"/>
              </w:rPr>
              <w:t>Předmět pojištění</w:t>
            </w:r>
          </w:p>
        </w:tc>
        <w:tc>
          <w:tcPr>
            <w:tcW w:w="2409" w:type="dxa"/>
            <w:shd w:val="clear" w:color="auto" w:fill="D9E2F3" w:themeFill="accent5" w:themeFillTint="33"/>
            <w:vAlign w:val="center"/>
          </w:tcPr>
          <w:p w14:paraId="1F6252B6" w14:textId="3C157A09" w:rsidR="005A462A" w:rsidRPr="004A0AD6" w:rsidRDefault="005A462A" w:rsidP="004C4385">
            <w:pPr>
              <w:pStyle w:val="perex"/>
              <w:spacing w:before="0" w:line="240" w:lineRule="auto"/>
              <w:jc w:val="center"/>
              <w:rPr>
                <w:rFonts w:cs="Arial"/>
                <w:sz w:val="19"/>
                <w:szCs w:val="19"/>
              </w:rPr>
            </w:pPr>
            <w:r w:rsidRPr="004A0AD6">
              <w:rPr>
                <w:rFonts w:cs="Arial"/>
                <w:sz w:val="19"/>
                <w:szCs w:val="19"/>
              </w:rPr>
              <w:t xml:space="preserve">Pojistná částka </w:t>
            </w:r>
          </w:p>
        </w:tc>
      </w:tr>
      <w:tr w:rsidR="004A0AD6" w:rsidRPr="004A0AD6" w14:paraId="7E066BBE" w14:textId="77777777" w:rsidTr="004F40D5">
        <w:trPr>
          <w:trHeight w:val="411"/>
        </w:trPr>
        <w:tc>
          <w:tcPr>
            <w:tcW w:w="6663" w:type="dxa"/>
            <w:shd w:val="clear" w:color="auto" w:fill="auto"/>
            <w:vAlign w:val="center"/>
          </w:tcPr>
          <w:p w14:paraId="590C8DEB" w14:textId="7F4B698F" w:rsidR="005A462A" w:rsidRPr="004A0AD6" w:rsidRDefault="005A462A" w:rsidP="004F40D5">
            <w:pPr>
              <w:pStyle w:val="perex"/>
              <w:spacing w:before="0" w:line="240" w:lineRule="auto"/>
              <w:rPr>
                <w:rFonts w:cs="Arial"/>
                <w:sz w:val="19"/>
                <w:szCs w:val="19"/>
              </w:rPr>
            </w:pPr>
            <w:r w:rsidRPr="004A0AD6">
              <w:rPr>
                <w:rFonts w:cs="Arial"/>
                <w:sz w:val="19"/>
                <w:szCs w:val="19"/>
              </w:rPr>
              <w:t xml:space="preserve">Smrt </w:t>
            </w:r>
            <w:r w:rsidR="004D1554" w:rsidRPr="004A0AD6">
              <w:rPr>
                <w:rFonts w:cs="Arial"/>
                <w:sz w:val="19"/>
                <w:szCs w:val="19"/>
              </w:rPr>
              <w:t>následkem úrazu</w:t>
            </w:r>
          </w:p>
          <w:p w14:paraId="51AD54D9" w14:textId="77777777" w:rsidR="005A462A" w:rsidRPr="004A0AD6" w:rsidRDefault="005A462A" w:rsidP="004F40D5">
            <w:pPr>
              <w:pStyle w:val="perex"/>
              <w:spacing w:before="0" w:line="240" w:lineRule="auto"/>
              <w:rPr>
                <w:rFonts w:cs="Arial"/>
                <w:sz w:val="19"/>
                <w:szCs w:val="19"/>
                <w:highlight w:val="yellow"/>
              </w:rPr>
            </w:pPr>
          </w:p>
        </w:tc>
        <w:tc>
          <w:tcPr>
            <w:tcW w:w="2409" w:type="dxa"/>
            <w:shd w:val="clear" w:color="auto" w:fill="auto"/>
            <w:vAlign w:val="center"/>
          </w:tcPr>
          <w:p w14:paraId="019CF8EE" w14:textId="057CF983" w:rsidR="005A462A" w:rsidRPr="004A0AD6" w:rsidRDefault="004D1554" w:rsidP="004F40D5">
            <w:pPr>
              <w:pStyle w:val="perex"/>
              <w:spacing w:before="0" w:line="240" w:lineRule="auto"/>
              <w:jc w:val="center"/>
              <w:rPr>
                <w:rFonts w:cs="Arial"/>
                <w:b w:val="0"/>
                <w:sz w:val="19"/>
                <w:szCs w:val="19"/>
                <w:highlight w:val="yellow"/>
              </w:rPr>
            </w:pPr>
            <w:r w:rsidRPr="004A0AD6">
              <w:rPr>
                <w:rFonts w:cs="Arial"/>
                <w:b w:val="0"/>
                <w:sz w:val="19"/>
                <w:szCs w:val="19"/>
              </w:rPr>
              <w:t>500 000 Kč</w:t>
            </w:r>
          </w:p>
        </w:tc>
      </w:tr>
      <w:tr w:rsidR="004A0AD6" w:rsidRPr="004A0AD6" w14:paraId="0E7119CC" w14:textId="77777777" w:rsidTr="004F40D5">
        <w:trPr>
          <w:trHeight w:val="582"/>
        </w:trPr>
        <w:tc>
          <w:tcPr>
            <w:tcW w:w="6663" w:type="dxa"/>
            <w:shd w:val="clear" w:color="auto" w:fill="auto"/>
            <w:vAlign w:val="center"/>
          </w:tcPr>
          <w:p w14:paraId="57605B73" w14:textId="77777777" w:rsidR="005A462A" w:rsidRPr="004A0AD6" w:rsidRDefault="005A462A" w:rsidP="004C4385">
            <w:pPr>
              <w:pStyle w:val="perex"/>
              <w:spacing w:before="0" w:line="240" w:lineRule="auto"/>
            </w:pPr>
            <w:r w:rsidRPr="004A0AD6">
              <w:t>Trvalé následky úrazu s progresivním plněním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26A120B9" w14:textId="7BCB2D88" w:rsidR="005A462A" w:rsidRPr="004A0AD6" w:rsidRDefault="004D1554" w:rsidP="004C4385">
            <w:pPr>
              <w:pStyle w:val="perex"/>
              <w:spacing w:before="0" w:line="240" w:lineRule="auto"/>
              <w:jc w:val="center"/>
              <w:rPr>
                <w:rFonts w:cs="Arial"/>
                <w:b w:val="0"/>
                <w:sz w:val="19"/>
                <w:szCs w:val="19"/>
              </w:rPr>
            </w:pPr>
            <w:r w:rsidRPr="004A0AD6">
              <w:rPr>
                <w:rFonts w:cs="Arial"/>
                <w:b w:val="0"/>
                <w:sz w:val="19"/>
                <w:szCs w:val="19"/>
              </w:rPr>
              <w:t>5</w:t>
            </w:r>
            <w:r w:rsidR="005A462A" w:rsidRPr="004A0AD6">
              <w:rPr>
                <w:rFonts w:cs="Arial"/>
                <w:b w:val="0"/>
                <w:sz w:val="19"/>
                <w:szCs w:val="19"/>
              </w:rPr>
              <w:t>00</w:t>
            </w:r>
            <w:r w:rsidRPr="004A0AD6">
              <w:rPr>
                <w:rFonts w:cs="Arial"/>
                <w:b w:val="0"/>
                <w:sz w:val="19"/>
                <w:szCs w:val="19"/>
              </w:rPr>
              <w:t> </w:t>
            </w:r>
            <w:r w:rsidR="005A462A" w:rsidRPr="004A0AD6">
              <w:rPr>
                <w:rFonts w:cs="Arial"/>
                <w:b w:val="0"/>
                <w:sz w:val="19"/>
                <w:szCs w:val="19"/>
              </w:rPr>
              <w:t>000</w:t>
            </w:r>
            <w:r w:rsidRPr="004A0AD6">
              <w:rPr>
                <w:rFonts w:cs="Arial"/>
                <w:b w:val="0"/>
                <w:sz w:val="19"/>
                <w:szCs w:val="19"/>
              </w:rPr>
              <w:t xml:space="preserve"> Kč</w:t>
            </w:r>
          </w:p>
        </w:tc>
      </w:tr>
      <w:tr w:rsidR="004A0AD6" w:rsidRPr="004A0AD6" w14:paraId="59B30680" w14:textId="77777777" w:rsidTr="004F40D5">
        <w:trPr>
          <w:trHeight w:val="547"/>
        </w:trPr>
        <w:tc>
          <w:tcPr>
            <w:tcW w:w="6663" w:type="dxa"/>
            <w:shd w:val="clear" w:color="auto" w:fill="auto"/>
            <w:vAlign w:val="center"/>
          </w:tcPr>
          <w:p w14:paraId="23F7709E" w14:textId="68DD1896" w:rsidR="005A462A" w:rsidRPr="004A0AD6" w:rsidRDefault="004A0AD6" w:rsidP="004C4385">
            <w:pPr>
              <w:pStyle w:val="perex"/>
              <w:spacing w:before="0" w:line="240" w:lineRule="auto"/>
              <w:rPr>
                <w:rFonts w:cs="Arial"/>
              </w:rPr>
            </w:pPr>
            <w:r w:rsidRPr="004A0AD6">
              <w:rPr>
                <w:rFonts w:cs="Arial"/>
                <w:bCs w:val="0"/>
              </w:rPr>
              <w:t>Těle</w:t>
            </w:r>
            <w:r>
              <w:rPr>
                <w:rFonts w:cs="Arial"/>
                <w:bCs w:val="0"/>
              </w:rPr>
              <w:t>s</w:t>
            </w:r>
            <w:r w:rsidRPr="004A0AD6">
              <w:rPr>
                <w:rFonts w:cs="Arial"/>
                <w:bCs w:val="0"/>
              </w:rPr>
              <w:t>né poškození způsobené úrazem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66A81824" w14:textId="1717F578" w:rsidR="005A462A" w:rsidRPr="004A0AD6" w:rsidRDefault="004A0AD6" w:rsidP="00280F56">
            <w:pPr>
              <w:pStyle w:val="perex"/>
              <w:spacing w:before="0" w:line="240" w:lineRule="auto"/>
              <w:jc w:val="center"/>
              <w:rPr>
                <w:rFonts w:cs="Arial"/>
                <w:b w:val="0"/>
                <w:sz w:val="19"/>
                <w:szCs w:val="19"/>
              </w:rPr>
            </w:pPr>
            <w:r w:rsidRPr="004A0AD6">
              <w:rPr>
                <w:rFonts w:cs="Arial"/>
                <w:b w:val="0"/>
                <w:sz w:val="19"/>
                <w:szCs w:val="19"/>
              </w:rPr>
              <w:t>100 000 Kč</w:t>
            </w:r>
          </w:p>
        </w:tc>
      </w:tr>
      <w:tr w:rsidR="004A0AD6" w:rsidRPr="004A0AD6" w14:paraId="2978D142" w14:textId="77777777" w:rsidTr="004F40D5">
        <w:trPr>
          <w:trHeight w:val="570"/>
        </w:trPr>
        <w:tc>
          <w:tcPr>
            <w:tcW w:w="6663" w:type="dxa"/>
            <w:shd w:val="clear" w:color="auto" w:fill="auto"/>
            <w:vAlign w:val="center"/>
          </w:tcPr>
          <w:p w14:paraId="01F94392" w14:textId="026513F8" w:rsidR="004A0AD6" w:rsidRPr="004A0AD6" w:rsidRDefault="004A0AD6" w:rsidP="004C4385">
            <w:pPr>
              <w:pStyle w:val="perex"/>
              <w:spacing w:before="0" w:line="240" w:lineRule="auto"/>
              <w:rPr>
                <w:rFonts w:cs="Arial"/>
                <w:bCs w:val="0"/>
              </w:rPr>
            </w:pPr>
            <w:r w:rsidRPr="004A0AD6">
              <w:rPr>
                <w:rFonts w:cs="Arial"/>
                <w:bCs w:val="0"/>
              </w:rPr>
              <w:t>Invalidita následkem úrazu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52A1EFC9" w14:textId="4E250061" w:rsidR="004A0AD6" w:rsidRPr="004A0AD6" w:rsidRDefault="004A0AD6" w:rsidP="00280F56">
            <w:pPr>
              <w:pStyle w:val="perex"/>
              <w:spacing w:before="0" w:line="240" w:lineRule="auto"/>
              <w:jc w:val="center"/>
              <w:rPr>
                <w:rFonts w:cs="Arial"/>
                <w:b w:val="0"/>
                <w:sz w:val="19"/>
                <w:szCs w:val="19"/>
              </w:rPr>
            </w:pPr>
            <w:r w:rsidRPr="004A0AD6">
              <w:rPr>
                <w:rFonts w:cs="Arial"/>
                <w:b w:val="0"/>
                <w:sz w:val="19"/>
                <w:szCs w:val="19"/>
              </w:rPr>
              <w:t>500 000 Kč</w:t>
            </w:r>
          </w:p>
        </w:tc>
      </w:tr>
    </w:tbl>
    <w:p w14:paraId="440D4C25" w14:textId="77777777" w:rsidR="00602556" w:rsidRPr="004A0AD6" w:rsidRDefault="00602556"/>
    <w:p w14:paraId="4D2EF3A5" w14:textId="77777777" w:rsidR="003C1A4F" w:rsidRDefault="003C1A4F"/>
    <w:p w14:paraId="318DDEC2" w14:textId="026B2C13" w:rsidR="004A0AD6" w:rsidRPr="004A0AD6" w:rsidRDefault="004A0AD6">
      <w:pPr>
        <w:rPr>
          <w:b/>
          <w:bCs/>
          <w:sz w:val="22"/>
          <w:szCs w:val="22"/>
        </w:rPr>
      </w:pPr>
      <w:r w:rsidRPr="004A0AD6">
        <w:rPr>
          <w:b/>
          <w:bCs/>
          <w:sz w:val="22"/>
          <w:szCs w:val="22"/>
        </w:rPr>
        <w:t>Ujednání:</w:t>
      </w:r>
    </w:p>
    <w:p w14:paraId="29826EC0" w14:textId="77777777" w:rsidR="004A0AD6" w:rsidRDefault="004A0AD6">
      <w:pPr>
        <w:rPr>
          <w:sz w:val="22"/>
          <w:szCs w:val="22"/>
        </w:rPr>
      </w:pPr>
    </w:p>
    <w:p w14:paraId="18B1B39A" w14:textId="2F177095" w:rsidR="004A0AD6" w:rsidRPr="004F40D5" w:rsidRDefault="004A0AD6">
      <w:pPr>
        <w:rPr>
          <w:szCs w:val="20"/>
        </w:rPr>
      </w:pPr>
      <w:r w:rsidRPr="004F40D5">
        <w:rPr>
          <w:szCs w:val="20"/>
        </w:rPr>
        <w:t>Pojištění příslušníků MP se vztahuje na úrazy, ke kterým dojde při provádění činnosti, ke kterým jsou pojištěné osoby zmocněny nebo jimiž jsou pověřeny.</w:t>
      </w:r>
    </w:p>
    <w:p w14:paraId="0684C75B" w14:textId="77777777" w:rsidR="004A0AD6" w:rsidRPr="004F40D5" w:rsidRDefault="004A0AD6">
      <w:pPr>
        <w:rPr>
          <w:szCs w:val="20"/>
        </w:rPr>
      </w:pPr>
    </w:p>
    <w:p w14:paraId="7B6B0D63" w14:textId="716B7106" w:rsidR="004A0AD6" w:rsidRPr="004F40D5" w:rsidRDefault="004A0AD6">
      <w:pPr>
        <w:rPr>
          <w:szCs w:val="20"/>
        </w:rPr>
      </w:pPr>
      <w:r w:rsidRPr="004F40D5">
        <w:rPr>
          <w:szCs w:val="20"/>
        </w:rPr>
        <w:t>Pojištění členů J</w:t>
      </w:r>
      <w:r w:rsidR="005A3FD7" w:rsidRPr="004F40D5">
        <w:rPr>
          <w:szCs w:val="20"/>
        </w:rPr>
        <w:t>SDH se vztahuje na úrazy, ke kterým dojde při provádění zásahu (tzn. v době od vyhlášení poplachu do návratu členů jednotky na základnu). Dále při plánovaném školení, výcviku a údržbě techniky. Pojištěná činnost v tomto případě začíná a končí místem hromadného srazu.</w:t>
      </w:r>
    </w:p>
    <w:p w14:paraId="2A9D4CA2" w14:textId="77777777" w:rsidR="008459BC" w:rsidRDefault="008459BC">
      <w:pPr>
        <w:rPr>
          <w:sz w:val="22"/>
          <w:szCs w:val="22"/>
        </w:rPr>
      </w:pPr>
    </w:p>
    <w:p w14:paraId="7347730F" w14:textId="77777777" w:rsidR="008459BC" w:rsidRPr="008459BC" w:rsidRDefault="008459BC" w:rsidP="004F40D5">
      <w:pPr>
        <w:spacing w:after="120"/>
        <w:rPr>
          <w:b/>
          <w:bCs/>
          <w:sz w:val="22"/>
          <w:szCs w:val="22"/>
        </w:rPr>
      </w:pPr>
      <w:r w:rsidRPr="008459BC">
        <w:rPr>
          <w:b/>
          <w:bCs/>
          <w:sz w:val="22"/>
          <w:szCs w:val="22"/>
        </w:rPr>
        <w:t>Platební podmínky</w:t>
      </w:r>
    </w:p>
    <w:p w14:paraId="1715F02D" w14:textId="77777777" w:rsidR="008459BC" w:rsidRPr="004F40D5" w:rsidRDefault="008459BC" w:rsidP="008459BC">
      <w:pPr>
        <w:rPr>
          <w:szCs w:val="20"/>
        </w:rPr>
      </w:pPr>
      <w:r w:rsidRPr="004F40D5">
        <w:rPr>
          <w:szCs w:val="20"/>
        </w:rPr>
        <w:t>Pojistné za pojistný rok bude placeno 1x ročně.</w:t>
      </w:r>
    </w:p>
    <w:p w14:paraId="5E092FA0" w14:textId="77777777" w:rsidR="004F40D5" w:rsidRDefault="004F40D5" w:rsidP="008459BC">
      <w:pPr>
        <w:tabs>
          <w:tab w:val="left" w:pos="1740"/>
        </w:tabs>
        <w:rPr>
          <w:sz w:val="22"/>
          <w:szCs w:val="22"/>
        </w:rPr>
      </w:pPr>
    </w:p>
    <w:p w14:paraId="2174FABF" w14:textId="77777777" w:rsidR="004F40D5" w:rsidRPr="004F40D5" w:rsidRDefault="004F40D5" w:rsidP="004F40D5">
      <w:pPr>
        <w:spacing w:after="120" w:line="276" w:lineRule="auto"/>
        <w:rPr>
          <w:rFonts w:cs="Arial"/>
          <w:b/>
          <w:sz w:val="22"/>
          <w:szCs w:val="22"/>
        </w:rPr>
      </w:pPr>
      <w:r w:rsidRPr="004F40D5">
        <w:rPr>
          <w:rFonts w:cs="Arial"/>
          <w:b/>
          <w:sz w:val="22"/>
          <w:szCs w:val="22"/>
        </w:rPr>
        <w:t>Bonifikace</w:t>
      </w:r>
    </w:p>
    <w:p w14:paraId="1FC44143" w14:textId="77777777" w:rsidR="004F40D5" w:rsidRPr="00156E7C" w:rsidRDefault="004F40D5" w:rsidP="004F40D5">
      <w:pPr>
        <w:spacing w:after="120" w:line="276" w:lineRule="auto"/>
        <w:rPr>
          <w:rFonts w:cs="Arial"/>
          <w:b/>
          <w:szCs w:val="20"/>
        </w:rPr>
      </w:pPr>
      <w:r w:rsidRPr="00156E7C">
        <w:rPr>
          <w:rFonts w:cs="Arial"/>
          <w:szCs w:val="20"/>
        </w:rPr>
        <w:t>Pojistitel poskytne bonus za příznivý škodní průběh dle zadávací dokumentace</w:t>
      </w:r>
      <w:r w:rsidRPr="00156E7C">
        <w:rPr>
          <w:rFonts w:cs="Arial"/>
          <w:b/>
          <w:szCs w:val="20"/>
        </w:rPr>
        <w:t>.</w:t>
      </w:r>
    </w:p>
    <w:p w14:paraId="470872F1" w14:textId="77777777" w:rsidR="004F40D5" w:rsidRPr="00156E7C" w:rsidRDefault="004F40D5" w:rsidP="004F40D5">
      <w:pPr>
        <w:spacing w:after="120" w:line="276" w:lineRule="auto"/>
        <w:rPr>
          <w:rFonts w:cs="Arial"/>
          <w:szCs w:val="20"/>
        </w:rPr>
      </w:pPr>
      <w:r w:rsidRPr="00156E7C">
        <w:rPr>
          <w:rFonts w:cs="Arial"/>
          <w:szCs w:val="20"/>
        </w:rPr>
        <w:t>Škodním průběhem se rozumí poměr mezi vyplaceným pojistným plněním (vč. rezervy na škody vzniklé, nahlášené, ale v době poskytnutí bonifikace nevyplacené) a přijatým pojistným, přičemž vyplacené pojistné plnění i přijaté pojistné jsou vztahovány k pojistnému období v délce jednoho roku. Pro výpočet škodního průběhu se do vyplaceného pojistného plnění započítávají přijaté regresy.</w:t>
      </w:r>
    </w:p>
    <w:p w14:paraId="2A2E6BF5" w14:textId="77777777" w:rsidR="004F40D5" w:rsidRPr="00156E7C" w:rsidRDefault="004F40D5" w:rsidP="004F40D5">
      <w:pPr>
        <w:spacing w:after="120" w:line="276" w:lineRule="auto"/>
        <w:rPr>
          <w:rFonts w:cs="Arial"/>
          <w:szCs w:val="20"/>
        </w:rPr>
      </w:pPr>
      <w:r w:rsidRPr="00156E7C">
        <w:rPr>
          <w:rFonts w:cs="Arial"/>
          <w:szCs w:val="20"/>
        </w:rPr>
        <w:t xml:space="preserve">Pojistitel na základě písemné žádosti pojistníka provede vyhodnocení škodného průběhu pojistné smlouvy za hodnocené období, kterým je pojistný rok. Bude-li skutečná hodnota škodného průběhu pojistné smlouvy nižší než hodnota smluvně stanovená, přizná pojistitel bonifikaci následovně: </w:t>
      </w:r>
    </w:p>
    <w:p w14:paraId="51F058C4" w14:textId="77777777" w:rsidR="004F40D5" w:rsidRPr="00156E7C" w:rsidRDefault="004F40D5" w:rsidP="004F40D5">
      <w:pPr>
        <w:spacing w:after="120" w:line="276" w:lineRule="auto"/>
        <w:rPr>
          <w:rFonts w:cs="Arial"/>
          <w:szCs w:val="20"/>
        </w:rPr>
      </w:pPr>
      <w:r w:rsidRPr="00156E7C">
        <w:rPr>
          <w:rFonts w:cs="Arial"/>
          <w:szCs w:val="20"/>
        </w:rPr>
        <w:tab/>
      </w:r>
      <w:r w:rsidRPr="00156E7C">
        <w:rPr>
          <w:rFonts w:cs="Arial"/>
          <w:szCs w:val="20"/>
        </w:rPr>
        <w:tab/>
        <w:t>Škodný průběh</w:t>
      </w:r>
      <w:r w:rsidRPr="00156E7C">
        <w:rPr>
          <w:rFonts w:cs="Arial"/>
          <w:szCs w:val="20"/>
        </w:rPr>
        <w:tab/>
      </w:r>
      <w:r w:rsidRPr="00156E7C">
        <w:rPr>
          <w:rFonts w:cs="Arial"/>
          <w:szCs w:val="20"/>
        </w:rPr>
        <w:tab/>
      </w:r>
      <w:r w:rsidRPr="00156E7C">
        <w:rPr>
          <w:rFonts w:cs="Arial"/>
          <w:szCs w:val="20"/>
        </w:rPr>
        <w:tab/>
        <w:t>Výše bonifikace</w:t>
      </w:r>
    </w:p>
    <w:p w14:paraId="0C8A2AFA" w14:textId="65BB21DB" w:rsidR="004F40D5" w:rsidRPr="00156E7C" w:rsidRDefault="004F40D5" w:rsidP="004F40D5">
      <w:pPr>
        <w:rPr>
          <w:rFonts w:cs="Arial"/>
          <w:szCs w:val="20"/>
        </w:rPr>
      </w:pPr>
      <w:r w:rsidRPr="00156E7C">
        <w:rPr>
          <w:rFonts w:cs="Arial"/>
          <w:szCs w:val="20"/>
        </w:rPr>
        <w:tab/>
      </w:r>
      <w:r w:rsidRPr="00156E7C">
        <w:rPr>
          <w:rFonts w:cs="Arial"/>
          <w:szCs w:val="20"/>
        </w:rPr>
        <w:tab/>
        <w:t xml:space="preserve">Do </w:t>
      </w:r>
      <w:proofErr w:type="gramStart"/>
      <w:r w:rsidRPr="00156E7C">
        <w:rPr>
          <w:rFonts w:cs="Arial"/>
          <w:szCs w:val="20"/>
        </w:rPr>
        <w:t>0%</w:t>
      </w:r>
      <w:proofErr w:type="gramEnd"/>
      <w:r w:rsidRPr="00156E7C">
        <w:rPr>
          <w:rFonts w:cs="Arial"/>
          <w:szCs w:val="20"/>
        </w:rPr>
        <w:tab/>
      </w:r>
      <w:r w:rsidRPr="00156E7C">
        <w:rPr>
          <w:rFonts w:cs="Arial"/>
          <w:szCs w:val="20"/>
        </w:rPr>
        <w:tab/>
      </w:r>
      <w:r w:rsidRPr="00156E7C">
        <w:rPr>
          <w:rFonts w:cs="Arial"/>
          <w:szCs w:val="20"/>
        </w:rPr>
        <w:tab/>
      </w:r>
      <w:r w:rsidRPr="00156E7C">
        <w:rPr>
          <w:rFonts w:cs="Arial"/>
          <w:szCs w:val="20"/>
        </w:rPr>
        <w:tab/>
      </w:r>
      <w:r>
        <w:rPr>
          <w:rFonts w:cs="Arial"/>
          <w:szCs w:val="20"/>
        </w:rPr>
        <w:t>20</w:t>
      </w:r>
      <w:r w:rsidRPr="00156E7C">
        <w:rPr>
          <w:rFonts w:cs="Arial"/>
          <w:szCs w:val="20"/>
        </w:rPr>
        <w:t>%</w:t>
      </w:r>
    </w:p>
    <w:p w14:paraId="2B9F6F25" w14:textId="077D0BA5" w:rsidR="004F40D5" w:rsidRPr="00156E7C" w:rsidRDefault="004F40D5" w:rsidP="004F40D5">
      <w:pPr>
        <w:rPr>
          <w:rFonts w:cs="Arial"/>
          <w:szCs w:val="20"/>
        </w:rPr>
      </w:pPr>
      <w:r w:rsidRPr="00156E7C">
        <w:rPr>
          <w:rFonts w:cs="Arial"/>
          <w:szCs w:val="20"/>
        </w:rPr>
        <w:tab/>
      </w:r>
      <w:r w:rsidRPr="00156E7C">
        <w:rPr>
          <w:rFonts w:cs="Arial"/>
          <w:szCs w:val="20"/>
        </w:rPr>
        <w:tab/>
        <w:t xml:space="preserve">Do </w:t>
      </w:r>
      <w:proofErr w:type="gramStart"/>
      <w:r w:rsidRPr="00156E7C">
        <w:rPr>
          <w:rFonts w:cs="Arial"/>
          <w:szCs w:val="20"/>
        </w:rPr>
        <w:t>10%</w:t>
      </w:r>
      <w:proofErr w:type="gramEnd"/>
      <w:r w:rsidRPr="00156E7C">
        <w:rPr>
          <w:rFonts w:cs="Arial"/>
          <w:szCs w:val="20"/>
        </w:rPr>
        <w:tab/>
      </w:r>
      <w:r w:rsidRPr="00156E7C">
        <w:rPr>
          <w:rFonts w:cs="Arial"/>
          <w:szCs w:val="20"/>
        </w:rPr>
        <w:tab/>
      </w:r>
      <w:r w:rsidRPr="00156E7C">
        <w:rPr>
          <w:rFonts w:cs="Arial"/>
          <w:szCs w:val="20"/>
        </w:rPr>
        <w:tab/>
      </w:r>
      <w:r>
        <w:rPr>
          <w:rFonts w:cs="Arial"/>
          <w:szCs w:val="20"/>
        </w:rPr>
        <w:t>15</w:t>
      </w:r>
      <w:r w:rsidRPr="00156E7C">
        <w:rPr>
          <w:rFonts w:cs="Arial"/>
          <w:szCs w:val="20"/>
        </w:rPr>
        <w:t>%</w:t>
      </w:r>
    </w:p>
    <w:p w14:paraId="1E77AC5F" w14:textId="77777777" w:rsidR="004F40D5" w:rsidRPr="00156E7C" w:rsidRDefault="004F40D5" w:rsidP="004F40D5">
      <w:pPr>
        <w:rPr>
          <w:rFonts w:cs="Arial"/>
          <w:szCs w:val="20"/>
        </w:rPr>
      </w:pPr>
      <w:r w:rsidRPr="00156E7C">
        <w:rPr>
          <w:rFonts w:cs="Arial"/>
          <w:szCs w:val="20"/>
        </w:rPr>
        <w:tab/>
      </w:r>
      <w:r w:rsidRPr="00156E7C">
        <w:rPr>
          <w:rFonts w:cs="Arial"/>
          <w:szCs w:val="20"/>
        </w:rPr>
        <w:tab/>
        <w:t xml:space="preserve">Do </w:t>
      </w:r>
      <w:proofErr w:type="gramStart"/>
      <w:r w:rsidRPr="00156E7C">
        <w:rPr>
          <w:rFonts w:cs="Arial"/>
          <w:szCs w:val="20"/>
        </w:rPr>
        <w:t>20%</w:t>
      </w:r>
      <w:proofErr w:type="gramEnd"/>
      <w:r w:rsidRPr="00156E7C">
        <w:rPr>
          <w:rFonts w:cs="Arial"/>
          <w:szCs w:val="20"/>
        </w:rPr>
        <w:tab/>
      </w:r>
      <w:r w:rsidRPr="00156E7C">
        <w:rPr>
          <w:rFonts w:cs="Arial"/>
          <w:szCs w:val="20"/>
        </w:rPr>
        <w:tab/>
      </w:r>
      <w:r w:rsidRPr="00156E7C">
        <w:rPr>
          <w:rFonts w:cs="Arial"/>
          <w:szCs w:val="20"/>
        </w:rPr>
        <w:tab/>
        <w:t>10%</w:t>
      </w:r>
    </w:p>
    <w:p w14:paraId="42C1BDD7" w14:textId="77FDC8B1" w:rsidR="008459BC" w:rsidRPr="004A0AD6" w:rsidRDefault="008459BC" w:rsidP="004F40D5">
      <w:pPr>
        <w:tabs>
          <w:tab w:val="left" w:pos="1740"/>
        </w:tabs>
        <w:rPr>
          <w:sz w:val="22"/>
          <w:szCs w:val="22"/>
        </w:rPr>
      </w:pPr>
      <w:r>
        <w:rPr>
          <w:sz w:val="22"/>
          <w:szCs w:val="22"/>
        </w:rPr>
        <w:tab/>
      </w:r>
    </w:p>
    <w:sectPr w:rsidR="008459BC" w:rsidRPr="004A0AD6" w:rsidSect="00691A8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315A0B"/>
    <w:multiLevelType w:val="hybridMultilevel"/>
    <w:tmpl w:val="67EAE6E4"/>
    <w:lvl w:ilvl="0" w:tplc="4058F912">
      <w:start w:val="1"/>
      <w:numFmt w:val="bullet"/>
      <w:lvlText w:val="-"/>
      <w:lvlJc w:val="left"/>
      <w:pPr>
        <w:ind w:left="146"/>
      </w:pPr>
      <w:rPr>
        <w:rFonts w:ascii="Cambria" w:eastAsia="Cambria" w:hAnsi="Cambria" w:cs="Cambria"/>
        <w:b w:val="0"/>
        <w:i w:val="0"/>
        <w:strike w:val="0"/>
        <w:dstrike w:val="0"/>
        <w:color w:val="17365D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C8F26CCA">
      <w:start w:val="1"/>
      <w:numFmt w:val="bullet"/>
      <w:lvlText w:val="o"/>
      <w:lvlJc w:val="left"/>
      <w:pPr>
        <w:ind w:left="1080"/>
      </w:pPr>
      <w:rPr>
        <w:rFonts w:ascii="Cambria" w:eastAsia="Cambria" w:hAnsi="Cambria" w:cs="Cambria"/>
        <w:b w:val="0"/>
        <w:i w:val="0"/>
        <w:strike w:val="0"/>
        <w:dstrike w:val="0"/>
        <w:color w:val="17365D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F1CA6C36">
      <w:start w:val="1"/>
      <w:numFmt w:val="bullet"/>
      <w:lvlText w:val="▪"/>
      <w:lvlJc w:val="left"/>
      <w:pPr>
        <w:ind w:left="1800"/>
      </w:pPr>
      <w:rPr>
        <w:rFonts w:ascii="Cambria" w:eastAsia="Cambria" w:hAnsi="Cambria" w:cs="Cambria"/>
        <w:b w:val="0"/>
        <w:i w:val="0"/>
        <w:strike w:val="0"/>
        <w:dstrike w:val="0"/>
        <w:color w:val="17365D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F4749312">
      <w:start w:val="1"/>
      <w:numFmt w:val="bullet"/>
      <w:lvlText w:val="•"/>
      <w:lvlJc w:val="left"/>
      <w:pPr>
        <w:ind w:left="2520"/>
      </w:pPr>
      <w:rPr>
        <w:rFonts w:ascii="Cambria" w:eastAsia="Cambria" w:hAnsi="Cambria" w:cs="Cambria"/>
        <w:b w:val="0"/>
        <w:i w:val="0"/>
        <w:strike w:val="0"/>
        <w:dstrike w:val="0"/>
        <w:color w:val="17365D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91BC4BEE">
      <w:start w:val="1"/>
      <w:numFmt w:val="bullet"/>
      <w:lvlText w:val="o"/>
      <w:lvlJc w:val="left"/>
      <w:pPr>
        <w:ind w:left="3240"/>
      </w:pPr>
      <w:rPr>
        <w:rFonts w:ascii="Cambria" w:eastAsia="Cambria" w:hAnsi="Cambria" w:cs="Cambria"/>
        <w:b w:val="0"/>
        <w:i w:val="0"/>
        <w:strike w:val="0"/>
        <w:dstrike w:val="0"/>
        <w:color w:val="17365D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5F4A3324">
      <w:start w:val="1"/>
      <w:numFmt w:val="bullet"/>
      <w:lvlText w:val="▪"/>
      <w:lvlJc w:val="left"/>
      <w:pPr>
        <w:ind w:left="3960"/>
      </w:pPr>
      <w:rPr>
        <w:rFonts w:ascii="Cambria" w:eastAsia="Cambria" w:hAnsi="Cambria" w:cs="Cambria"/>
        <w:b w:val="0"/>
        <w:i w:val="0"/>
        <w:strike w:val="0"/>
        <w:dstrike w:val="0"/>
        <w:color w:val="17365D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56FECE92">
      <w:start w:val="1"/>
      <w:numFmt w:val="bullet"/>
      <w:lvlText w:val="•"/>
      <w:lvlJc w:val="left"/>
      <w:pPr>
        <w:ind w:left="4680"/>
      </w:pPr>
      <w:rPr>
        <w:rFonts w:ascii="Cambria" w:eastAsia="Cambria" w:hAnsi="Cambria" w:cs="Cambria"/>
        <w:b w:val="0"/>
        <w:i w:val="0"/>
        <w:strike w:val="0"/>
        <w:dstrike w:val="0"/>
        <w:color w:val="17365D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4A62E388">
      <w:start w:val="1"/>
      <w:numFmt w:val="bullet"/>
      <w:lvlText w:val="o"/>
      <w:lvlJc w:val="left"/>
      <w:pPr>
        <w:ind w:left="5400"/>
      </w:pPr>
      <w:rPr>
        <w:rFonts w:ascii="Cambria" w:eastAsia="Cambria" w:hAnsi="Cambria" w:cs="Cambria"/>
        <w:b w:val="0"/>
        <w:i w:val="0"/>
        <w:strike w:val="0"/>
        <w:dstrike w:val="0"/>
        <w:color w:val="17365D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59E41968">
      <w:start w:val="1"/>
      <w:numFmt w:val="bullet"/>
      <w:lvlText w:val="▪"/>
      <w:lvlJc w:val="left"/>
      <w:pPr>
        <w:ind w:left="6120"/>
      </w:pPr>
      <w:rPr>
        <w:rFonts w:ascii="Cambria" w:eastAsia="Cambria" w:hAnsi="Cambria" w:cs="Cambria"/>
        <w:b w:val="0"/>
        <w:i w:val="0"/>
        <w:strike w:val="0"/>
        <w:dstrike w:val="0"/>
        <w:color w:val="17365D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20F512C2"/>
    <w:multiLevelType w:val="hybridMultilevel"/>
    <w:tmpl w:val="BCD4B75E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665622224">
    <w:abstractNumId w:val="1"/>
  </w:num>
  <w:num w:numId="2" w16cid:durableId="8566503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0C9E"/>
    <w:rsid w:val="00040C9E"/>
    <w:rsid w:val="001144D5"/>
    <w:rsid w:val="00115DFF"/>
    <w:rsid w:val="0011772F"/>
    <w:rsid w:val="001A3CCE"/>
    <w:rsid w:val="001D032F"/>
    <w:rsid w:val="001F3839"/>
    <w:rsid w:val="00280F56"/>
    <w:rsid w:val="002C683A"/>
    <w:rsid w:val="00334C19"/>
    <w:rsid w:val="003C1A4F"/>
    <w:rsid w:val="0046679E"/>
    <w:rsid w:val="004A0AD6"/>
    <w:rsid w:val="004D1554"/>
    <w:rsid w:val="004F40D5"/>
    <w:rsid w:val="00523F24"/>
    <w:rsid w:val="005A3FD7"/>
    <w:rsid w:val="005A462A"/>
    <w:rsid w:val="00602556"/>
    <w:rsid w:val="00647A79"/>
    <w:rsid w:val="00691A80"/>
    <w:rsid w:val="007114D3"/>
    <w:rsid w:val="00767696"/>
    <w:rsid w:val="008459BC"/>
    <w:rsid w:val="008C05F1"/>
    <w:rsid w:val="00B50E1A"/>
    <w:rsid w:val="00BB289B"/>
    <w:rsid w:val="00C11EC2"/>
    <w:rsid w:val="00C37804"/>
    <w:rsid w:val="00CB3F78"/>
    <w:rsid w:val="00CC7F0E"/>
    <w:rsid w:val="00E6342F"/>
    <w:rsid w:val="00F2583E"/>
    <w:rsid w:val="00F72965"/>
    <w:rsid w:val="00FA5C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0DB68B"/>
  <w15:docId w15:val="{39426788-98EA-44E6-9033-DEF8720010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5A462A"/>
    <w:pPr>
      <w:spacing w:after="0" w:line="240" w:lineRule="auto"/>
    </w:pPr>
    <w:rPr>
      <w:rFonts w:ascii="Arial" w:eastAsia="Times New Roman" w:hAnsi="Arial" w:cs="Times New Roman"/>
      <w:sz w:val="20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perex">
    <w:name w:val="perex"/>
    <w:basedOn w:val="Normln"/>
    <w:link w:val="perexChar"/>
    <w:rsid w:val="005A462A"/>
    <w:pPr>
      <w:tabs>
        <w:tab w:val="left" w:pos="3990"/>
      </w:tabs>
      <w:spacing w:before="240" w:line="360" w:lineRule="auto"/>
    </w:pPr>
    <w:rPr>
      <w:b/>
      <w:bCs/>
    </w:rPr>
  </w:style>
  <w:style w:type="character" w:customStyle="1" w:styleId="perexChar">
    <w:name w:val="perex Char"/>
    <w:link w:val="perex"/>
    <w:rsid w:val="005A462A"/>
    <w:rPr>
      <w:rFonts w:ascii="Arial" w:eastAsia="Times New Roman" w:hAnsi="Arial" w:cs="Times New Roman"/>
      <w:b/>
      <w:bCs/>
      <w:sz w:val="20"/>
      <w:szCs w:val="24"/>
      <w:lang w:eastAsia="cs-CZ"/>
    </w:rPr>
  </w:style>
  <w:style w:type="character" w:styleId="Hypertextovodkaz">
    <w:name w:val="Hyperlink"/>
    <w:basedOn w:val="Standardnpsmoodstavce"/>
    <w:uiPriority w:val="99"/>
    <w:semiHidden/>
    <w:unhideWhenUsed/>
    <w:rsid w:val="00CB3F7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999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7106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3494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48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294</Words>
  <Characters>1741</Characters>
  <Application>Microsoft Office Word</Application>
  <DocSecurity>0</DocSecurity>
  <Lines>14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IT OK GROUP a.s.</dc:creator>
  <cp:keywords/>
  <dc:description/>
  <cp:lastModifiedBy>Pavel Koubek</cp:lastModifiedBy>
  <cp:revision>11</cp:revision>
  <cp:lastPrinted>2025-12-05T09:01:00Z</cp:lastPrinted>
  <dcterms:created xsi:type="dcterms:W3CDTF">2025-12-28T13:40:00Z</dcterms:created>
  <dcterms:modified xsi:type="dcterms:W3CDTF">2026-01-24T20:11:00Z</dcterms:modified>
</cp:coreProperties>
</file>