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3D" w:rsidRPr="005A0E55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</w:p>
    <w:p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:rsidR="00A576C9" w:rsidRDefault="00A576C9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C94F47" w:rsidRPr="007223C1" w:rsidTr="005B69A5">
        <w:tc>
          <w:tcPr>
            <w:tcW w:w="10456" w:type="dxa"/>
            <w:gridSpan w:val="2"/>
            <w:shd w:val="clear" w:color="auto" w:fill="F2F2F2"/>
            <w:vAlign w:val="center"/>
          </w:tcPr>
          <w:p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:rsidTr="003F29FA">
        <w:tc>
          <w:tcPr>
            <w:tcW w:w="2802" w:type="dxa"/>
            <w:shd w:val="clear" w:color="auto" w:fill="F2F2F2"/>
            <w:vAlign w:val="center"/>
          </w:tcPr>
          <w:p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654" w:type="dxa"/>
          </w:tcPr>
          <w:p w:rsidR="00CB0BFB" w:rsidRPr="00CB0BFB" w:rsidRDefault="00CB0BFB" w:rsidP="00CB0BFB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CB0BFB">
              <w:rPr>
                <w:rFonts w:asciiTheme="minorHAnsi" w:hAnsiTheme="minorHAnsi" w:cs="Calibri"/>
                <w:bCs/>
              </w:rPr>
              <w:t>Dodávka diagnostických pracovních stanic pro radiodiagnostická pracoviště</w:t>
            </w:r>
          </w:p>
          <w:p w:rsidR="00A576C9" w:rsidRPr="007223C1" w:rsidRDefault="00CB0BFB" w:rsidP="00CB0BFB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CB0BFB">
              <w:rPr>
                <w:rFonts w:asciiTheme="minorHAnsi" w:hAnsiTheme="minorHAnsi" w:cs="Calibri"/>
                <w:bCs/>
              </w:rPr>
              <w:t>společnosti Nemocnice Pardubického kraje, a.s.</w:t>
            </w:r>
          </w:p>
        </w:tc>
      </w:tr>
      <w:tr w:rsidR="00A576C9" w:rsidRPr="007223C1" w:rsidTr="003F29FA">
        <w:tc>
          <w:tcPr>
            <w:tcW w:w="2802" w:type="dxa"/>
            <w:shd w:val="clear" w:color="auto" w:fill="F2F2F2"/>
            <w:vAlign w:val="center"/>
          </w:tcPr>
          <w:p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654" w:type="dxa"/>
            <w:vAlign w:val="center"/>
          </w:tcPr>
          <w:p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:rsidTr="003F29FA">
        <w:trPr>
          <w:trHeight w:val="20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4A7904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:rsidTr="00A576C9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7223C1" w:rsidDel="001A748D" w:rsidTr="003F29FA"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:rsidTr="004A7904">
        <w:tc>
          <w:tcPr>
            <w:tcW w:w="2802" w:type="dxa"/>
            <w:shd w:val="clear" w:color="auto" w:fill="FFFFFF" w:themeFill="background1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:rsidTr="004A7904">
        <w:tc>
          <w:tcPr>
            <w:tcW w:w="2802" w:type="dxa"/>
            <w:shd w:val="clear" w:color="auto" w:fill="FFFFFF" w:themeFill="background1"/>
          </w:tcPr>
          <w:p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:rsidTr="004A7904">
        <w:tc>
          <w:tcPr>
            <w:tcW w:w="2802" w:type="dxa"/>
            <w:shd w:val="clear" w:color="auto" w:fill="FFFFFF" w:themeFill="background1"/>
          </w:tcPr>
          <w:p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654" w:type="dxa"/>
            <w:shd w:val="clear" w:color="auto" w:fill="FFFF99"/>
            <w:vAlign w:val="center"/>
          </w:tcPr>
          <w:p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:rsidTr="003F29FA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76C9" w:rsidRPr="00560D1F" w:rsidRDefault="00A576C9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B0BFB" w:rsidRDefault="00CB0BFB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</w:p>
    <w:p w:rsidR="00CB0BFB" w:rsidRPr="00647AFD" w:rsidRDefault="00CB0BFB" w:rsidP="00CB0BFB">
      <w:pPr>
        <w:pStyle w:val="Styl3"/>
        <w:numPr>
          <w:ilvl w:val="0"/>
          <w:numId w:val="0"/>
        </w:numPr>
        <w:ind w:left="792" w:hanging="565"/>
        <w:rPr>
          <w:rFonts w:asciiTheme="minorHAnsi" w:hAnsiTheme="minorHAnsi"/>
          <w:color w:val="0070C0"/>
          <w:sz w:val="22"/>
          <w:szCs w:val="22"/>
        </w:rPr>
      </w:pPr>
    </w:p>
    <w:tbl>
      <w:tblPr>
        <w:tblW w:w="10418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1276"/>
        <w:gridCol w:w="851"/>
        <w:gridCol w:w="1488"/>
        <w:gridCol w:w="1488"/>
        <w:gridCol w:w="1488"/>
      </w:tblGrid>
      <w:tr w:rsidR="00CB0BFB" w:rsidRPr="00D94A84" w:rsidTr="00CB0BFB">
        <w:trPr>
          <w:cantSplit/>
          <w:trHeight w:val="963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BFB" w:rsidRPr="00647AFD" w:rsidRDefault="00CB0BFB" w:rsidP="009A12B0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647AFD">
              <w:rPr>
                <w:rFonts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BFB" w:rsidRPr="00647AFD" w:rsidRDefault="00CB0BFB" w:rsidP="009A12B0">
            <w:pPr>
              <w:spacing w:after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47AFD">
              <w:rPr>
                <w:rFonts w:cs="Arial"/>
                <w:b/>
                <w:bCs/>
                <w:sz w:val="20"/>
                <w:szCs w:val="20"/>
              </w:rPr>
              <w:t>Typové označení nabízené stanice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BFB" w:rsidRPr="00AF5006" w:rsidRDefault="00CB0BFB" w:rsidP="009A12B0">
            <w:pPr>
              <w:spacing w:after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F5006">
              <w:rPr>
                <w:rFonts w:cs="Arial"/>
                <w:b/>
                <w:bCs/>
                <w:sz w:val="20"/>
                <w:szCs w:val="20"/>
              </w:rPr>
              <w:t>Cena za kus</w:t>
            </w:r>
          </w:p>
          <w:p w:rsidR="00CB0BFB" w:rsidRPr="00AF5006" w:rsidRDefault="00CB0BFB" w:rsidP="009A12B0">
            <w:pPr>
              <w:spacing w:after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F5006">
              <w:rPr>
                <w:rFonts w:cs="Arial"/>
                <w:b/>
                <w:bCs/>
                <w:sz w:val="20"/>
                <w:szCs w:val="20"/>
              </w:rPr>
              <w:t xml:space="preserve"> v Kč (bez DPH)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BFB" w:rsidRPr="00AF5006" w:rsidRDefault="00CB0BFB" w:rsidP="009A12B0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47AFD">
              <w:rPr>
                <w:b/>
                <w:sz w:val="20"/>
                <w:szCs w:val="20"/>
              </w:rPr>
              <w:t>Počet kusů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BFB" w:rsidRPr="00AF5006" w:rsidRDefault="00CB0BFB" w:rsidP="009A12B0">
            <w:pPr>
              <w:spacing w:after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F5006">
              <w:rPr>
                <w:rFonts w:cs="Arial"/>
                <w:b/>
                <w:bCs/>
                <w:sz w:val="20"/>
                <w:szCs w:val="20"/>
              </w:rPr>
              <w:t>Cena celkem</w:t>
            </w:r>
          </w:p>
          <w:p w:rsidR="00CB0BFB" w:rsidRPr="00AF5006" w:rsidRDefault="00CB0BFB" w:rsidP="009A12B0">
            <w:pPr>
              <w:spacing w:after="0"/>
              <w:jc w:val="right"/>
              <w:rPr>
                <w:rFonts w:cs="Arial"/>
                <w:bCs/>
                <w:sz w:val="20"/>
                <w:szCs w:val="20"/>
              </w:rPr>
            </w:pPr>
            <w:r w:rsidRPr="00AF5006">
              <w:rPr>
                <w:rFonts w:cs="Arial"/>
                <w:b/>
                <w:bCs/>
                <w:sz w:val="20"/>
                <w:szCs w:val="20"/>
              </w:rPr>
              <w:t xml:space="preserve"> v Kč (bez DPH)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BFB" w:rsidRPr="00AF5006" w:rsidRDefault="00CB0BFB" w:rsidP="009A12B0">
            <w:pPr>
              <w:pStyle w:val="Textkomente"/>
              <w:spacing w:after="0"/>
              <w:jc w:val="right"/>
              <w:rPr>
                <w:rFonts w:cs="Arial"/>
                <w:b/>
                <w:bCs/>
              </w:rPr>
            </w:pPr>
            <w:r w:rsidRPr="00AF5006">
              <w:rPr>
                <w:b/>
              </w:rPr>
              <w:t>Výše DPH v Kč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0BFB" w:rsidRPr="00AF5006" w:rsidRDefault="00CB0BFB" w:rsidP="009A12B0">
            <w:pPr>
              <w:spacing w:after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F5006">
              <w:rPr>
                <w:rFonts w:cs="Arial"/>
                <w:b/>
                <w:bCs/>
                <w:sz w:val="20"/>
                <w:szCs w:val="20"/>
              </w:rPr>
              <w:t>Cena celkem</w:t>
            </w:r>
          </w:p>
          <w:p w:rsidR="00CB0BFB" w:rsidRPr="00AF5006" w:rsidRDefault="00CB0BFB" w:rsidP="009A12B0">
            <w:pPr>
              <w:pStyle w:val="Textkomente"/>
              <w:spacing w:after="0"/>
              <w:jc w:val="right"/>
              <w:rPr>
                <w:rFonts w:cs="Arial"/>
                <w:b/>
                <w:bCs/>
              </w:rPr>
            </w:pPr>
            <w:r w:rsidRPr="00AF5006">
              <w:rPr>
                <w:rFonts w:cs="Arial"/>
                <w:b/>
                <w:bCs/>
              </w:rPr>
              <w:t xml:space="preserve"> v Kč (s DPH)</w:t>
            </w:r>
          </w:p>
        </w:tc>
      </w:tr>
      <w:tr w:rsidR="00CB0BFB" w:rsidRPr="00D94A84" w:rsidTr="00CB0BFB">
        <w:trPr>
          <w:cantSplit/>
          <w:trHeight w:val="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BFB" w:rsidRPr="00AF5006" w:rsidRDefault="00CB0BFB" w:rsidP="009A12B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47AFD">
              <w:rPr>
                <w:rFonts w:cs="Arial"/>
                <w:sz w:val="20"/>
                <w:szCs w:val="20"/>
              </w:rPr>
              <w:t>Diagnostická pracovní stanice pro radiodiagnostické pracoviště</w:t>
            </w:r>
            <w:r w:rsidRPr="00647AFD" w:rsidDel="007B1911">
              <w:rPr>
                <w:rFonts w:cs="Arial"/>
                <w:sz w:val="20"/>
                <w:szCs w:val="20"/>
              </w:rPr>
              <w:t xml:space="preserve"> </w:t>
            </w:r>
            <w:r w:rsidRPr="00647AFD">
              <w:rPr>
                <w:rFonts w:cs="Arial"/>
                <w:sz w:val="20"/>
                <w:szCs w:val="20"/>
              </w:rPr>
              <w:t xml:space="preserve">Pardubické nemocnice včetně záruky za jakost na 60 měsíců v rozsahu dle čl. 3.2.2 </w:t>
            </w:r>
            <w:r>
              <w:rPr>
                <w:rFonts w:cs="Arial"/>
                <w:sz w:val="20"/>
                <w:szCs w:val="20"/>
              </w:rPr>
              <w:t>ZD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FB" w:rsidRPr="00D94A84" w:rsidRDefault="00CB0BFB" w:rsidP="009A12B0">
            <w:pPr>
              <w:spacing w:after="0"/>
              <w:jc w:val="center"/>
              <w:rPr>
                <w:rFonts w:cs="Arial"/>
              </w:rPr>
            </w:pPr>
            <w:r w:rsidRPr="00D94A84">
              <w:rPr>
                <w:rFonts w:cs="Arial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jc w:val="right"/>
              <w:rPr>
                <w:rFonts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line="240" w:lineRule="auto"/>
              <w:jc w:val="right"/>
              <w:rPr>
                <w:rFonts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line="240" w:lineRule="auto"/>
              <w:jc w:val="right"/>
              <w:rPr>
                <w:rFonts w:cs="Arial"/>
              </w:rPr>
            </w:pPr>
          </w:p>
        </w:tc>
      </w:tr>
      <w:tr w:rsidR="00CB0BFB" w:rsidRPr="00D94A84" w:rsidTr="00CB0BFB">
        <w:trPr>
          <w:cantSplit/>
          <w:trHeight w:val="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BFB" w:rsidRPr="00AF5006" w:rsidRDefault="00CB0BFB" w:rsidP="009A12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7AFD">
              <w:rPr>
                <w:rFonts w:cs="Arial"/>
                <w:sz w:val="20"/>
                <w:szCs w:val="20"/>
              </w:rPr>
              <w:t>Diagnostická pracovní stanice pro radiodiagnostické pracoviště</w:t>
            </w:r>
            <w:r w:rsidRPr="00647AFD" w:rsidDel="007B1911">
              <w:rPr>
                <w:rFonts w:cs="Arial"/>
                <w:sz w:val="20"/>
                <w:szCs w:val="20"/>
              </w:rPr>
              <w:t xml:space="preserve"> </w:t>
            </w:r>
            <w:r w:rsidRPr="00647AFD">
              <w:rPr>
                <w:rFonts w:cs="Arial"/>
                <w:sz w:val="20"/>
                <w:szCs w:val="20"/>
              </w:rPr>
              <w:t>Svitavské nemocnice včetně záruky za jakost na 60 měsíců v rozsahu dle čl. 3.2.2</w:t>
            </w:r>
            <w:r>
              <w:rPr>
                <w:rFonts w:cs="Arial"/>
                <w:sz w:val="20"/>
                <w:szCs w:val="20"/>
              </w:rPr>
              <w:t xml:space="preserve"> ZD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FB" w:rsidRPr="00D94A84" w:rsidRDefault="00CB0BFB" w:rsidP="009A12B0">
            <w:pPr>
              <w:spacing w:after="0"/>
              <w:jc w:val="center"/>
              <w:rPr>
                <w:rFonts w:cs="Arial"/>
              </w:rPr>
            </w:pPr>
            <w:r w:rsidRPr="00D94A84">
              <w:rPr>
                <w:rFonts w:cs="Arial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jc w:val="right"/>
              <w:rPr>
                <w:rFonts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line="240" w:lineRule="auto"/>
              <w:jc w:val="right"/>
              <w:rPr>
                <w:rFonts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line="240" w:lineRule="auto"/>
              <w:jc w:val="right"/>
              <w:rPr>
                <w:rFonts w:cs="Arial"/>
              </w:rPr>
            </w:pPr>
          </w:p>
        </w:tc>
      </w:tr>
      <w:tr w:rsidR="00CB0BFB" w:rsidRPr="00D94A84" w:rsidTr="00CB0BFB">
        <w:trPr>
          <w:cantSplit/>
          <w:trHeight w:val="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BFB" w:rsidRPr="00647AFD" w:rsidRDefault="00CB0BFB" w:rsidP="009A12B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47AFD">
              <w:rPr>
                <w:rFonts w:cs="Arial"/>
                <w:sz w:val="20"/>
                <w:szCs w:val="20"/>
              </w:rPr>
              <w:t>Diagnostická pracovní stanice pro radiodiagnostické pracoviště</w:t>
            </w:r>
            <w:r w:rsidRPr="00647AFD" w:rsidDel="007B191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Chrudimské</w:t>
            </w:r>
            <w:r w:rsidRPr="00647AFD">
              <w:rPr>
                <w:rFonts w:cs="Arial"/>
                <w:sz w:val="20"/>
                <w:szCs w:val="20"/>
              </w:rPr>
              <w:t xml:space="preserve"> nemocnice včetně záruky za jakost na 60 měsíců v rozsahu dle čl. 3.2.2</w:t>
            </w:r>
            <w:r>
              <w:rPr>
                <w:rFonts w:cs="Arial"/>
                <w:sz w:val="20"/>
                <w:szCs w:val="20"/>
              </w:rPr>
              <w:t xml:space="preserve"> ZD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FB" w:rsidRPr="00D94A84" w:rsidRDefault="00CB0BFB" w:rsidP="009A12B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jc w:val="right"/>
              <w:rPr>
                <w:rFonts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line="240" w:lineRule="auto"/>
              <w:jc w:val="right"/>
              <w:rPr>
                <w:rFonts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line="240" w:lineRule="auto"/>
              <w:jc w:val="right"/>
              <w:rPr>
                <w:rFonts w:cs="Arial"/>
              </w:rPr>
            </w:pPr>
          </w:p>
        </w:tc>
      </w:tr>
      <w:tr w:rsidR="00CB0BFB" w:rsidRPr="00D94A84" w:rsidTr="00CB0BFB">
        <w:trPr>
          <w:cantSplit/>
          <w:trHeight w:val="22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0BFB" w:rsidRPr="00D94A84" w:rsidRDefault="00CB0BFB" w:rsidP="009A12B0">
            <w:pPr>
              <w:spacing w:after="0"/>
              <w:rPr>
                <w:rFonts w:cs="Arial"/>
              </w:rPr>
            </w:pPr>
            <w:r>
              <w:rPr>
                <w:b/>
              </w:rPr>
              <w:t>Celková nabídková cena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jc w:val="right"/>
              <w:rPr>
                <w:rFonts w:cs="Arial"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line="240" w:lineRule="auto"/>
              <w:jc w:val="right"/>
              <w:rPr>
                <w:rFonts w:cs="Arial"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B0BFB" w:rsidRPr="00D94A84" w:rsidRDefault="00CB0BFB" w:rsidP="009A12B0">
            <w:pPr>
              <w:spacing w:line="240" w:lineRule="auto"/>
              <w:jc w:val="right"/>
              <w:rPr>
                <w:rFonts w:cs="Arial"/>
              </w:rPr>
            </w:pPr>
          </w:p>
        </w:tc>
      </w:tr>
    </w:tbl>
    <w:p w:rsidR="00CB0BFB" w:rsidRPr="00D94A84" w:rsidRDefault="00CB0BFB" w:rsidP="00CB0BFB">
      <w:pPr>
        <w:spacing w:after="0" w:line="240" w:lineRule="auto"/>
        <w:jc w:val="both"/>
        <w:rPr>
          <w:rFonts w:cstheme="minorHAnsi"/>
        </w:rPr>
      </w:pPr>
    </w:p>
    <w:p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lastRenderedPageBreak/>
        <w:t>Prohlášení o nabídkové ceně:</w:t>
      </w:r>
    </w:p>
    <w:p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:rsidR="008339B4" w:rsidRDefault="001F09F3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Dodavatel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dodavatel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</w:t>
      </w:r>
      <w:bookmarkStart w:id="0" w:name="_GoBack"/>
      <w:bookmarkEnd w:id="0"/>
      <w:r w:rsidR="00AD0F42" w:rsidRPr="00AD0F42">
        <w:rPr>
          <w:rFonts w:asciiTheme="minorHAnsi" w:hAnsiTheme="minorHAnsi" w:cs="Tahoma"/>
          <w:color w:val="000000"/>
        </w:rPr>
        <w:t>dné a omylu prosté vůle a je si vědomi všech následků plynoucích z uvedení nepravdivých údajů.</w:t>
      </w:r>
    </w:p>
    <w:p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CB0BFB" w:rsidRDefault="00CB0BFB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CB0BFB" w:rsidRDefault="00CB0BFB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4A7904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4A7904">
        <w:rPr>
          <w:rFonts w:asciiTheme="minorHAnsi" w:hAnsiTheme="minorHAnsi"/>
          <w:shd w:val="clear" w:color="auto" w:fill="FFFF99"/>
        </w:rPr>
        <w:t>……………………………………………</w:t>
      </w:r>
    </w:p>
    <w:p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CB0BFB" w:rsidRDefault="00CB0BFB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CB0BFB" w:rsidRDefault="00CB0BFB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CB0BFB" w:rsidRPr="00AB1E72" w:rsidRDefault="00CB0BFB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4A7904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4A7904">
        <w:rPr>
          <w:rFonts w:asciiTheme="minorHAnsi" w:hAnsiTheme="minorHAnsi"/>
          <w:shd w:val="clear" w:color="auto" w:fill="FFFF99"/>
        </w:rPr>
        <w:t>..</w:t>
      </w:r>
      <w:r w:rsidRPr="004A7904">
        <w:rPr>
          <w:rFonts w:asciiTheme="minorHAnsi" w:hAnsiTheme="minorHAnsi"/>
          <w:shd w:val="clear" w:color="auto" w:fill="FFFF99"/>
        </w:rPr>
        <w:t>……………………………</w:t>
      </w:r>
    </w:p>
    <w:p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Pr="00AB1E72">
        <w:rPr>
          <w:rFonts w:asciiTheme="minorHAnsi" w:hAnsiTheme="minorHAnsi"/>
        </w:rPr>
        <w:t>)</w:t>
      </w:r>
    </w:p>
    <w:p w:rsidR="00CB0BFB" w:rsidRDefault="00CB0BFB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:rsidR="00CB0BFB" w:rsidRDefault="00CB0BFB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:rsidR="00CB0BFB" w:rsidRDefault="00CB0BFB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:rsidR="00CB0BFB" w:rsidRDefault="00CB0BFB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:rsidR="00CB0BFB" w:rsidRDefault="00CB0BFB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r w:rsidRPr="004A7904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8"/>
      <w:footerReference w:type="default" r:id="rId9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37A" w:rsidRDefault="00A2537A">
      <w:r>
        <w:separator/>
      </w:r>
    </w:p>
  </w:endnote>
  <w:endnote w:type="continuationSeparator" w:id="0">
    <w:p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BFB">
          <w:rPr>
            <w:noProof/>
          </w:rPr>
          <w:t>- 2 -</w:t>
        </w:r>
        <w:r>
          <w:fldChar w:fldCharType="end"/>
        </w:r>
      </w:p>
    </w:sdtContent>
  </w:sdt>
  <w:p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37A" w:rsidRDefault="00A2537A">
      <w:r>
        <w:separator/>
      </w:r>
    </w:p>
  </w:footnote>
  <w:footnote w:type="continuationSeparator" w:id="0">
    <w:p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725E6DAE" wp14:editId="2BA2A9F1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4D7EEE" w:rsidRDefault="004D7EEE" w:rsidP="004D7EEE">
    <w:pPr>
      <w:pStyle w:val="Zpat"/>
      <w:spacing w:after="0" w:line="240" w:lineRule="auto"/>
      <w:rPr>
        <w:sz w:val="14"/>
      </w:rPr>
    </w:pPr>
  </w:p>
  <w:p w:rsidR="00A2537A" w:rsidRDefault="00A2537A" w:rsidP="00AC4D43">
    <w:pPr>
      <w:pStyle w:val="Zpat"/>
      <w:jc w:val="center"/>
      <w:rPr>
        <w:b/>
        <w:sz w:val="16"/>
        <w:szCs w:val="16"/>
      </w:rPr>
    </w:pPr>
  </w:p>
  <w:p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5F685A"/>
    <w:multiLevelType w:val="multilevel"/>
    <w:tmpl w:val="B9B6255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sz w:val="32"/>
        <w:szCs w:val="32"/>
      </w:rPr>
    </w:lvl>
    <w:lvl w:ilvl="1">
      <w:start w:val="1"/>
      <w:numFmt w:val="decimal"/>
      <w:pStyle w:val="Podtitul"/>
      <w:lvlText w:val="%1.%2."/>
      <w:lvlJc w:val="left"/>
      <w:pPr>
        <w:ind w:left="792" w:hanging="565"/>
      </w:pPr>
      <w:rPr>
        <w:rFonts w:hint="default"/>
        <w:b/>
        <w:color w:val="0070C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b w:val="0"/>
        <w:color w:val="365F91" w:themeColor="accent1" w:themeShade="BF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5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3104B86"/>
    <w:multiLevelType w:val="multilevel"/>
    <w:tmpl w:val="FA98328E"/>
    <w:numStyleLink w:val="Styl1"/>
  </w:abstractNum>
  <w:abstractNum w:abstractNumId="47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9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3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4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2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3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6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8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0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2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0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4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8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9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2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5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6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7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9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1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1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3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6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7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9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3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7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8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9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1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3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4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6"/>
  </w:num>
  <w:num w:numId="3">
    <w:abstractNumId w:val="119"/>
  </w:num>
  <w:num w:numId="4">
    <w:abstractNumId w:val="12"/>
  </w:num>
  <w:num w:numId="5">
    <w:abstractNumId w:val="30"/>
  </w:num>
  <w:num w:numId="6">
    <w:abstractNumId w:val="23"/>
  </w:num>
  <w:num w:numId="7">
    <w:abstractNumId w:val="111"/>
  </w:num>
  <w:num w:numId="8">
    <w:abstractNumId w:val="124"/>
  </w:num>
  <w:num w:numId="9">
    <w:abstractNumId w:val="38"/>
  </w:num>
  <w:num w:numId="10">
    <w:abstractNumId w:val="95"/>
  </w:num>
  <w:num w:numId="11">
    <w:abstractNumId w:val="114"/>
  </w:num>
  <w:num w:numId="12">
    <w:abstractNumId w:val="53"/>
  </w:num>
  <w:num w:numId="13">
    <w:abstractNumId w:val="135"/>
  </w:num>
  <w:num w:numId="14">
    <w:abstractNumId w:val="21"/>
  </w:num>
  <w:num w:numId="15">
    <w:abstractNumId w:val="105"/>
  </w:num>
  <w:num w:numId="16">
    <w:abstractNumId w:val="112"/>
  </w:num>
  <w:num w:numId="17">
    <w:abstractNumId w:val="55"/>
  </w:num>
  <w:num w:numId="18">
    <w:abstractNumId w:val="91"/>
  </w:num>
  <w:num w:numId="19">
    <w:abstractNumId w:val="115"/>
  </w:num>
  <w:num w:numId="20">
    <w:abstractNumId w:val="34"/>
  </w:num>
  <w:num w:numId="21">
    <w:abstractNumId w:val="46"/>
  </w:num>
  <w:num w:numId="22">
    <w:abstractNumId w:val="113"/>
  </w:num>
  <w:num w:numId="23">
    <w:abstractNumId w:val="48"/>
  </w:num>
  <w:num w:numId="24">
    <w:abstractNumId w:val="65"/>
  </w:num>
  <w:num w:numId="25">
    <w:abstractNumId w:val="109"/>
  </w:num>
  <w:num w:numId="26">
    <w:abstractNumId w:val="31"/>
  </w:num>
  <w:num w:numId="27">
    <w:abstractNumId w:val="25"/>
  </w:num>
  <w:num w:numId="28">
    <w:abstractNumId w:val="20"/>
  </w:num>
  <w:num w:numId="29">
    <w:abstractNumId w:val="88"/>
  </w:num>
  <w:num w:numId="30">
    <w:abstractNumId w:val="128"/>
  </w:num>
  <w:num w:numId="31">
    <w:abstractNumId w:val="92"/>
  </w:num>
  <w:num w:numId="32">
    <w:abstractNumId w:val="22"/>
  </w:num>
  <w:num w:numId="33">
    <w:abstractNumId w:val="69"/>
  </w:num>
  <w:num w:numId="34">
    <w:abstractNumId w:val="80"/>
  </w:num>
  <w:num w:numId="35">
    <w:abstractNumId w:val="76"/>
  </w:num>
  <w:num w:numId="36">
    <w:abstractNumId w:val="81"/>
  </w:num>
  <w:num w:numId="3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3"/>
  </w:num>
  <w:num w:numId="39">
    <w:abstractNumId w:val="130"/>
  </w:num>
  <w:num w:numId="40">
    <w:abstractNumId w:val="36"/>
  </w:num>
  <w:num w:numId="41">
    <w:abstractNumId w:val="43"/>
  </w:num>
  <w:num w:numId="42">
    <w:abstractNumId w:val="120"/>
  </w:num>
  <w:num w:numId="43">
    <w:abstractNumId w:val="68"/>
  </w:num>
  <w:num w:numId="44">
    <w:abstractNumId w:val="11"/>
  </w:num>
  <w:num w:numId="45">
    <w:abstractNumId w:val="70"/>
  </w:num>
  <w:num w:numId="46">
    <w:abstractNumId w:val="118"/>
  </w:num>
  <w:num w:numId="47">
    <w:abstractNumId w:val="35"/>
  </w:num>
  <w:num w:numId="48">
    <w:abstractNumId w:val="62"/>
  </w:num>
  <w:num w:numId="49">
    <w:abstractNumId w:val="39"/>
  </w:num>
  <w:num w:numId="50">
    <w:abstractNumId w:val="14"/>
  </w:num>
  <w:num w:numId="5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0"/>
  </w:num>
  <w:num w:numId="53">
    <w:abstractNumId w:val="125"/>
  </w:num>
  <w:num w:numId="54">
    <w:abstractNumId w:val="121"/>
  </w:num>
  <w:num w:numId="55">
    <w:abstractNumId w:val="129"/>
  </w:num>
  <w:num w:numId="56">
    <w:abstractNumId w:val="73"/>
  </w:num>
  <w:num w:numId="57">
    <w:abstractNumId w:val="93"/>
  </w:num>
  <w:num w:numId="58">
    <w:abstractNumId w:val="79"/>
  </w:num>
  <w:num w:numId="59">
    <w:abstractNumId w:val="37"/>
  </w:num>
  <w:num w:numId="60">
    <w:abstractNumId w:val="87"/>
  </w:num>
  <w:num w:numId="61">
    <w:abstractNumId w:val="104"/>
  </w:num>
  <w:num w:numId="62">
    <w:abstractNumId w:val="8"/>
  </w:num>
  <w:num w:numId="63">
    <w:abstractNumId w:val="85"/>
  </w:num>
  <w:num w:numId="64">
    <w:abstractNumId w:val="83"/>
  </w:num>
  <w:num w:numId="65">
    <w:abstractNumId w:val="94"/>
  </w:num>
  <w:num w:numId="66">
    <w:abstractNumId w:val="132"/>
  </w:num>
  <w:num w:numId="67">
    <w:abstractNumId w:val="67"/>
  </w:num>
  <w:num w:numId="68">
    <w:abstractNumId w:val="137"/>
  </w:num>
  <w:num w:numId="69">
    <w:abstractNumId w:val="61"/>
  </w:num>
  <w:num w:numId="70">
    <w:abstractNumId w:val="122"/>
  </w:num>
  <w:num w:numId="71">
    <w:abstractNumId w:val="98"/>
  </w:num>
  <w:num w:numId="72">
    <w:abstractNumId w:val="52"/>
  </w:num>
  <w:num w:numId="73">
    <w:abstractNumId w:val="126"/>
  </w:num>
  <w:num w:numId="74">
    <w:abstractNumId w:val="116"/>
  </w:num>
  <w:num w:numId="75">
    <w:abstractNumId w:val="89"/>
  </w:num>
  <w:num w:numId="76">
    <w:abstractNumId w:val="5"/>
  </w:num>
  <w:num w:numId="77">
    <w:abstractNumId w:val="41"/>
  </w:num>
  <w:num w:numId="78">
    <w:abstractNumId w:val="47"/>
  </w:num>
  <w:num w:numId="79">
    <w:abstractNumId w:val="57"/>
  </w:num>
  <w:num w:numId="80">
    <w:abstractNumId w:val="7"/>
  </w:num>
  <w:num w:numId="81">
    <w:abstractNumId w:val="133"/>
  </w:num>
  <w:num w:numId="82">
    <w:abstractNumId w:val="54"/>
  </w:num>
  <w:num w:numId="83">
    <w:abstractNumId w:val="32"/>
  </w:num>
  <w:num w:numId="84">
    <w:abstractNumId w:val="127"/>
  </w:num>
  <w:num w:numId="85">
    <w:abstractNumId w:val="99"/>
  </w:num>
  <w:num w:numId="86">
    <w:abstractNumId w:val="26"/>
  </w:num>
  <w:num w:numId="87">
    <w:abstractNumId w:val="101"/>
  </w:num>
  <w:num w:numId="88">
    <w:abstractNumId w:val="82"/>
  </w:num>
  <w:num w:numId="89">
    <w:abstractNumId w:val="16"/>
  </w:num>
  <w:num w:numId="90">
    <w:abstractNumId w:val="18"/>
  </w:num>
  <w:num w:numId="91">
    <w:abstractNumId w:val="66"/>
  </w:num>
  <w:num w:numId="92">
    <w:abstractNumId w:val="72"/>
  </w:num>
  <w:num w:numId="93">
    <w:abstractNumId w:val="134"/>
  </w:num>
  <w:num w:numId="94">
    <w:abstractNumId w:val="71"/>
  </w:num>
  <w:num w:numId="95">
    <w:abstractNumId w:val="110"/>
  </w:num>
  <w:num w:numId="96">
    <w:abstractNumId w:val="29"/>
  </w:num>
  <w:num w:numId="97">
    <w:abstractNumId w:val="74"/>
  </w:num>
  <w:num w:numId="98">
    <w:abstractNumId w:val="9"/>
  </w:num>
  <w:num w:numId="99">
    <w:abstractNumId w:val="100"/>
  </w:num>
  <w:num w:numId="100">
    <w:abstractNumId w:val="75"/>
  </w:num>
  <w:num w:numId="101">
    <w:abstractNumId w:val="49"/>
  </w:num>
  <w:num w:numId="102">
    <w:abstractNumId w:val="107"/>
  </w:num>
  <w:num w:numId="103">
    <w:abstractNumId w:val="24"/>
  </w:num>
  <w:num w:numId="104">
    <w:abstractNumId w:val="6"/>
  </w:num>
  <w:num w:numId="105">
    <w:abstractNumId w:val="123"/>
  </w:num>
  <w:num w:numId="106">
    <w:abstractNumId w:val="19"/>
  </w:num>
  <w:num w:numId="107">
    <w:abstractNumId w:val="56"/>
  </w:num>
  <w:num w:numId="108">
    <w:abstractNumId w:val="106"/>
  </w:num>
  <w:num w:numId="109">
    <w:abstractNumId w:val="0"/>
  </w:num>
  <w:num w:numId="110">
    <w:abstractNumId w:val="40"/>
  </w:num>
  <w:num w:numId="111">
    <w:abstractNumId w:val="136"/>
  </w:num>
  <w:num w:numId="112">
    <w:abstractNumId w:val="17"/>
  </w:num>
  <w:num w:numId="113">
    <w:abstractNumId w:val="97"/>
  </w:num>
  <w:num w:numId="114">
    <w:abstractNumId w:val="103"/>
  </w:num>
  <w:num w:numId="115">
    <w:abstractNumId w:val="117"/>
  </w:num>
  <w:num w:numId="116">
    <w:abstractNumId w:val="84"/>
  </w:num>
  <w:num w:numId="117">
    <w:abstractNumId w:val="131"/>
  </w:num>
  <w:num w:numId="118">
    <w:abstractNumId w:val="77"/>
  </w:num>
  <w:num w:numId="119">
    <w:abstractNumId w:val="58"/>
  </w:num>
  <w:num w:numId="120">
    <w:abstractNumId w:val="15"/>
  </w:num>
  <w:num w:numId="121">
    <w:abstractNumId w:val="60"/>
  </w:num>
  <w:num w:numId="122">
    <w:abstractNumId w:val="13"/>
  </w:num>
  <w:num w:numId="123">
    <w:abstractNumId w:val="45"/>
  </w:num>
  <w:num w:numId="124">
    <w:abstractNumId w:val="10"/>
  </w:num>
  <w:num w:numId="125">
    <w:abstractNumId w:val="64"/>
  </w:num>
  <w:num w:numId="126">
    <w:abstractNumId w:val="108"/>
  </w:num>
  <w:num w:numId="127">
    <w:abstractNumId w:val="96"/>
  </w:num>
  <w:num w:numId="128">
    <w:abstractNumId w:val="44"/>
  </w:num>
  <w:num w:numId="129">
    <w:abstractNumId w:val="27"/>
  </w:num>
  <w:num w:numId="130">
    <w:abstractNumId w:val="51"/>
  </w:num>
  <w:num w:numId="131">
    <w:abstractNumId w:val="59"/>
  </w:num>
  <w:num w:numId="132">
    <w:abstractNumId w:val="28"/>
  </w:num>
  <w:num w:numId="133">
    <w:abstractNumId w:val="50"/>
  </w:num>
  <w:num w:numId="134">
    <w:abstractNumId w:val="102"/>
  </w:num>
  <w:num w:numId="135">
    <w:abstractNumId w:val="78"/>
  </w:num>
  <w:num w:numId="136">
    <w:abstractNumId w:val="42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904"/>
    <w:rsid w:val="004A7C2D"/>
    <w:rsid w:val="004B2987"/>
    <w:rsid w:val="004B30DD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BFB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8D9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  <w:style w:type="paragraph" w:customStyle="1" w:styleId="Styl3">
    <w:name w:val="Styl3"/>
    <w:basedOn w:val="Styl1"/>
    <w:link w:val="Styl3Char"/>
    <w:qFormat/>
    <w:rsid w:val="00CB0BFB"/>
    <w:pPr>
      <w:keepNext/>
      <w:keepLines/>
      <w:numPr>
        <w:ilvl w:val="1"/>
        <w:numId w:val="2"/>
      </w:numPr>
      <w:spacing w:after="0" w:line="240" w:lineRule="auto"/>
      <w:outlineLvl w:val="0"/>
    </w:pPr>
    <w:rPr>
      <w:rFonts w:asciiTheme="majorHAnsi" w:eastAsiaTheme="majorEastAsia" w:hAnsiTheme="majorHAnsi" w:cs="Arial"/>
      <w:b/>
      <w:color w:val="DF6613"/>
      <w:sz w:val="24"/>
      <w:szCs w:val="24"/>
      <w:lang w:val="cs-CZ" w:eastAsia="en-US" w:bidi="ar-SA"/>
    </w:rPr>
  </w:style>
  <w:style w:type="character" w:customStyle="1" w:styleId="Styl3Char">
    <w:name w:val="Styl3 Char"/>
    <w:basedOn w:val="Standardnpsmoodstavce"/>
    <w:link w:val="Styl3"/>
    <w:rsid w:val="00CB0BFB"/>
    <w:rPr>
      <w:rFonts w:asciiTheme="majorHAnsi" w:eastAsiaTheme="majorEastAsia" w:hAnsiTheme="majorHAnsi" w:cs="Arial"/>
      <w:b/>
      <w:color w:val="DF661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35A0-87B3-4973-970A-92E32F21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329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2466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161</cp:revision>
  <cp:lastPrinted>2016-12-08T11:32:00Z</cp:lastPrinted>
  <dcterms:created xsi:type="dcterms:W3CDTF">2015-09-21T07:06:00Z</dcterms:created>
  <dcterms:modified xsi:type="dcterms:W3CDTF">2018-09-04T12:09:00Z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