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312D3F44"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r w:rsidR="008A29A9">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0D0F5D8C"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proofErr w:type="gramEnd"/>
      <w:r>
        <w:rPr>
          <w:rFonts w:cstheme="minorHAnsi"/>
          <w:color w:val="000000"/>
        </w:rPr>
        <w:t>…</w:t>
      </w:r>
      <w:proofErr w:type="gramStart"/>
      <w:r>
        <w:rPr>
          <w:rFonts w:cstheme="minorHAnsi"/>
          <w:color w:val="000000"/>
        </w:rPr>
        <w:t>…….</w:t>
      </w:r>
      <w:proofErr w:type="gramEnd"/>
      <w:r>
        <w:rPr>
          <w:rFonts w:cstheme="minorHAnsi"/>
          <w:color w:val="000000"/>
        </w:rPr>
        <w:t>.</w:t>
      </w:r>
    </w:p>
    <w:p w14:paraId="460995BE" w14:textId="71CBF0F2"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r>
        <w:rPr>
          <w:rFonts w:cstheme="minorHAnsi"/>
          <w:color w:val="000000"/>
        </w:rPr>
        <w:t>…..</w:t>
      </w:r>
      <w:proofErr w:type="gramEnd"/>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4A29EA43"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roofErr w:type="gramStart"/>
      <w:r>
        <w:t>……</w:t>
      </w:r>
      <w:r w:rsidR="008A29A9">
        <w:t>.</w:t>
      </w:r>
      <w:proofErr w:type="gramEnd"/>
      <w:r w:rsidR="008A29A9">
        <w:t>.</w:t>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1A64DFA0"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0373B8" w:rsidRPr="000373B8">
        <w:rPr>
          <w:rFonts w:asciiTheme="minorHAnsi" w:hAnsiTheme="minorHAnsi" w:cstheme="minorHAnsi"/>
          <w:b/>
          <w:bCs/>
          <w:i/>
          <w:iCs/>
          <w:color w:val="000000"/>
          <w:sz w:val="22"/>
          <w:szCs w:val="22"/>
          <w:lang w:val="cs-CZ"/>
        </w:rPr>
        <w:t>VR</w:t>
      </w:r>
      <w:r w:rsidR="000373B8" w:rsidRPr="000373B8">
        <w:rPr>
          <w:rFonts w:asciiTheme="minorHAnsi" w:hAnsiTheme="minorHAnsi" w:cstheme="minorHAnsi"/>
          <w:b/>
          <w:bCs/>
          <w:i/>
          <w:color w:val="000000"/>
          <w:sz w:val="22"/>
          <w:szCs w:val="22"/>
          <w:lang w:val="cs-CZ"/>
        </w:rPr>
        <w:t>-22-25- SYSTÉM PRO EVIDENCI MAJETKU POMOCÍ 2D KÓDŮ</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3F987329" w:rsidR="00CB16A8" w:rsidRPr="00CB16A8" w:rsidRDefault="002D6D34" w:rsidP="00CB16A8">
      <w:pPr>
        <w:pStyle w:val="Bezmezer"/>
        <w:numPr>
          <w:ilvl w:val="0"/>
          <w:numId w:val="1"/>
        </w:numPr>
        <w:ind w:left="0" w:hanging="426"/>
      </w:pPr>
      <w:r w:rsidRPr="00DB56C9">
        <w:rPr>
          <w:rFonts w:cstheme="minorHAnsi"/>
        </w:rPr>
        <w:t>Účelem této smlouvy je vymezení práv a povinností smluvních stran při dodávce</w:t>
      </w:r>
      <w:r w:rsidR="0023135A" w:rsidRPr="0023135A">
        <w:t xml:space="preserve"> </w:t>
      </w:r>
      <w:r w:rsidR="000373B8">
        <w:t xml:space="preserve">systému pro evidenci majetku pomocí </w:t>
      </w:r>
      <w:proofErr w:type="gramStart"/>
      <w:r w:rsidR="000373B8">
        <w:t>2D</w:t>
      </w:r>
      <w:proofErr w:type="gramEnd"/>
      <w:r w:rsidR="000373B8">
        <w:t xml:space="preserve"> kódů </w:t>
      </w:r>
      <w:r w:rsidR="004D617F" w:rsidRPr="004D617F">
        <w:t xml:space="preserve">pro CDV </w:t>
      </w:r>
      <w:r w:rsidR="00CB16A8" w:rsidRPr="00E82560">
        <w:t>s příslušenstvím</w:t>
      </w:r>
      <w:r w:rsidR="00CB16A8" w:rsidRPr="00CB16A8">
        <w:t>.</w:t>
      </w:r>
    </w:p>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II. Předmět smlouvy</w:t>
      </w:r>
    </w:p>
    <w:p w14:paraId="2782461C" w14:textId="6466C7A5" w:rsidR="000373B8" w:rsidRPr="000373B8" w:rsidRDefault="000373B8" w:rsidP="000373B8">
      <w:pPr>
        <w:pStyle w:val="Bezmezer"/>
        <w:numPr>
          <w:ilvl w:val="0"/>
          <w:numId w:val="19"/>
        </w:numPr>
        <w:jc w:val="both"/>
        <w:rPr>
          <w:rFonts w:cstheme="minorHAnsi"/>
          <w:color w:val="000000"/>
        </w:rPr>
      </w:pPr>
      <w:r w:rsidRPr="000373B8">
        <w:rPr>
          <w:rFonts w:cstheme="minorHAnsi"/>
          <w:color w:val="000000"/>
        </w:rPr>
        <w:t xml:space="preserve">Za účelem zefektivnění systému inventarizace majetku </w:t>
      </w:r>
      <w:r>
        <w:rPr>
          <w:rFonts w:cstheme="minorHAnsi"/>
          <w:color w:val="000000"/>
        </w:rPr>
        <w:t>obdrží kupující</w:t>
      </w:r>
      <w:r w:rsidRPr="000373B8">
        <w:rPr>
          <w:rFonts w:cstheme="minorHAnsi"/>
          <w:color w:val="000000"/>
        </w:rPr>
        <w:t xml:space="preserve"> komplexní řešení zahrnující dodávku hardwaru, softwaru a souvisejících služeb pro využití </w:t>
      </w:r>
      <w:proofErr w:type="gramStart"/>
      <w:r w:rsidRPr="000373B8">
        <w:rPr>
          <w:rFonts w:cstheme="minorHAnsi"/>
          <w:color w:val="000000"/>
        </w:rPr>
        <w:t>2D</w:t>
      </w:r>
      <w:proofErr w:type="gramEnd"/>
      <w:r w:rsidRPr="000373B8">
        <w:rPr>
          <w:rFonts w:cstheme="minorHAnsi"/>
          <w:color w:val="000000"/>
        </w:rPr>
        <w:t xml:space="preserve"> kódů při provádění fyzických inventur. Předmětem je samostatný systém (nikoli mobilní aplikace) umožňující tisk, čtení a správu </w:t>
      </w:r>
      <w:proofErr w:type="gramStart"/>
      <w:r w:rsidRPr="000373B8">
        <w:rPr>
          <w:rFonts w:cstheme="minorHAnsi"/>
          <w:color w:val="000000"/>
        </w:rPr>
        <w:t>2D</w:t>
      </w:r>
      <w:proofErr w:type="gramEnd"/>
      <w:r w:rsidRPr="000373B8">
        <w:rPr>
          <w:rFonts w:cstheme="minorHAnsi"/>
          <w:color w:val="000000"/>
        </w:rPr>
        <w:t xml:space="preserve"> kódů a jejich propojení s účetním systémem </w:t>
      </w:r>
      <w:proofErr w:type="spellStart"/>
      <w:r w:rsidRPr="000373B8">
        <w:rPr>
          <w:rFonts w:cstheme="minorHAnsi"/>
          <w:color w:val="000000"/>
        </w:rPr>
        <w:t>Magion</w:t>
      </w:r>
      <w:proofErr w:type="spellEnd"/>
      <w:r w:rsidRPr="000373B8">
        <w:rPr>
          <w:rFonts w:cstheme="minorHAnsi"/>
          <w:color w:val="000000"/>
        </w:rPr>
        <w:t xml:space="preserve"> a interním informačním systémem CDV.</w:t>
      </w:r>
    </w:p>
    <w:p w14:paraId="4BC85525" w14:textId="37A1DD7E" w:rsidR="000373B8" w:rsidRPr="000373B8" w:rsidRDefault="000373B8" w:rsidP="000373B8">
      <w:pPr>
        <w:pStyle w:val="Bezmezer"/>
        <w:numPr>
          <w:ilvl w:val="0"/>
          <w:numId w:val="19"/>
        </w:numPr>
        <w:jc w:val="both"/>
        <w:rPr>
          <w:rFonts w:cstheme="minorHAnsi"/>
          <w:color w:val="000000"/>
        </w:rPr>
      </w:pPr>
      <w:r w:rsidRPr="000373B8">
        <w:rPr>
          <w:rFonts w:cstheme="minorHAnsi"/>
          <w:color w:val="000000"/>
        </w:rPr>
        <w:t>Specifikace požadavků</w:t>
      </w:r>
    </w:p>
    <w:p w14:paraId="5F775663" w14:textId="572D138F"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 xml:space="preserve">Systém (SW) pro generování </w:t>
      </w:r>
      <w:proofErr w:type="gramStart"/>
      <w:r w:rsidRPr="000373B8">
        <w:rPr>
          <w:rFonts w:cstheme="minorHAnsi"/>
          <w:color w:val="000000"/>
        </w:rPr>
        <w:t>2D</w:t>
      </w:r>
      <w:proofErr w:type="gramEnd"/>
      <w:r w:rsidRPr="000373B8">
        <w:rPr>
          <w:rFonts w:cstheme="minorHAnsi"/>
          <w:color w:val="000000"/>
        </w:rPr>
        <w:t xml:space="preserve"> kódů</w:t>
      </w:r>
    </w:p>
    <w:p w14:paraId="003A0E07" w14:textId="7754389A"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 xml:space="preserve">1 kus komplexního řešení pro tisk </w:t>
      </w:r>
      <w:proofErr w:type="gramStart"/>
      <w:r w:rsidRPr="000373B8">
        <w:rPr>
          <w:rFonts w:cstheme="minorHAnsi"/>
          <w:color w:val="000000"/>
        </w:rPr>
        <w:t>2D</w:t>
      </w:r>
      <w:proofErr w:type="gramEnd"/>
      <w:r w:rsidRPr="000373B8">
        <w:rPr>
          <w:rFonts w:cstheme="minorHAnsi"/>
          <w:color w:val="000000"/>
        </w:rPr>
        <w:t xml:space="preserve"> kódů na samolepicí štítky (tiskárna, barvicí médium, kabely, SW apod.) – nastavitelné formáty tisku a štítků.</w:t>
      </w:r>
    </w:p>
    <w:p w14:paraId="4E38D1E6" w14:textId="750C5C1C"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12 000 ks samolepicích štítků (rozměr 5 × 2 cm) – odolné proti otěru, vlhku, mastnotě a teplotám od -20 °C do +50 °C.</w:t>
      </w:r>
    </w:p>
    <w:p w14:paraId="74D9369A" w14:textId="76369B39"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 xml:space="preserve">2 ks zařízení pro čtení </w:t>
      </w:r>
      <w:proofErr w:type="gramStart"/>
      <w:r w:rsidRPr="000373B8">
        <w:rPr>
          <w:rFonts w:cstheme="minorHAnsi"/>
          <w:color w:val="000000"/>
        </w:rPr>
        <w:t>2D</w:t>
      </w:r>
      <w:proofErr w:type="gramEnd"/>
      <w:r w:rsidRPr="000373B8">
        <w:rPr>
          <w:rFonts w:cstheme="minorHAnsi"/>
          <w:color w:val="000000"/>
        </w:rPr>
        <w:t xml:space="preserve"> kódů (čtečky) včetně příslušenství – nabíječka, síťový kabel, datový kabel, paměťové úložiště apod.</w:t>
      </w:r>
    </w:p>
    <w:p w14:paraId="4C109633" w14:textId="27EDE00E"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Implementace nabízeného řešení a jeho zprovoznění.</w:t>
      </w:r>
    </w:p>
    <w:p w14:paraId="335EFDDE" w14:textId="6BB946C9"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Školení obsluhy.</w:t>
      </w:r>
    </w:p>
    <w:p w14:paraId="5E3DF13B" w14:textId="3DDD74B9" w:rsidR="000373B8" w:rsidRPr="000373B8" w:rsidRDefault="000373B8" w:rsidP="000373B8">
      <w:pPr>
        <w:pStyle w:val="Bezmezer"/>
        <w:numPr>
          <w:ilvl w:val="0"/>
          <w:numId w:val="20"/>
        </w:numPr>
        <w:jc w:val="both"/>
        <w:rPr>
          <w:rFonts w:cstheme="minorHAnsi"/>
          <w:color w:val="000000"/>
        </w:rPr>
      </w:pPr>
      <w:r w:rsidRPr="000373B8">
        <w:rPr>
          <w:rFonts w:cstheme="minorHAnsi"/>
          <w:color w:val="000000"/>
        </w:rPr>
        <w:t>Uživatelská podpora na dobu 4 let (telefonická + e</w:t>
      </w:r>
      <w:r w:rsidRPr="000373B8">
        <w:rPr>
          <w:rFonts w:ascii="Cambria Math" w:hAnsi="Cambria Math" w:cs="Cambria Math"/>
          <w:color w:val="000000"/>
        </w:rPr>
        <w:t>‑</w:t>
      </w:r>
      <w:r w:rsidRPr="000373B8">
        <w:rPr>
          <w:rFonts w:cstheme="minorHAnsi"/>
          <w:color w:val="000000"/>
        </w:rPr>
        <w:t>mailov</w:t>
      </w:r>
      <w:r w:rsidRPr="000373B8">
        <w:rPr>
          <w:rFonts w:ascii="Calibri" w:hAnsi="Calibri" w:cs="Calibri"/>
          <w:color w:val="000000"/>
        </w:rPr>
        <w:t>á</w:t>
      </w:r>
      <w:r w:rsidRPr="000373B8">
        <w:rPr>
          <w:rFonts w:cstheme="minorHAnsi"/>
          <w:color w:val="000000"/>
        </w:rPr>
        <w:t>) jako sou</w:t>
      </w:r>
      <w:r w:rsidRPr="000373B8">
        <w:rPr>
          <w:rFonts w:ascii="Calibri" w:hAnsi="Calibri" w:cs="Calibri"/>
          <w:color w:val="000000"/>
        </w:rPr>
        <w:t>čá</w:t>
      </w:r>
      <w:r w:rsidRPr="000373B8">
        <w:rPr>
          <w:rFonts w:cstheme="minorHAnsi"/>
          <w:color w:val="000000"/>
        </w:rPr>
        <w:t>st nab</w:t>
      </w:r>
      <w:r w:rsidRPr="000373B8">
        <w:rPr>
          <w:rFonts w:ascii="Calibri" w:hAnsi="Calibri" w:cs="Calibri"/>
          <w:color w:val="000000"/>
        </w:rPr>
        <w:t>í</w:t>
      </w:r>
      <w:r w:rsidRPr="000373B8">
        <w:rPr>
          <w:rFonts w:cstheme="minorHAnsi"/>
          <w:color w:val="000000"/>
        </w:rPr>
        <w:t>dky.</w:t>
      </w:r>
    </w:p>
    <w:p w14:paraId="091D4708" w14:textId="73D39FAA" w:rsidR="004D617F" w:rsidRDefault="000373B8" w:rsidP="000373B8">
      <w:pPr>
        <w:pStyle w:val="Bezmezer"/>
        <w:numPr>
          <w:ilvl w:val="0"/>
          <w:numId w:val="20"/>
        </w:numPr>
        <w:jc w:val="both"/>
        <w:rPr>
          <w:rFonts w:cstheme="minorHAnsi"/>
          <w:color w:val="000000"/>
        </w:rPr>
      </w:pPr>
      <w:r w:rsidRPr="000373B8">
        <w:rPr>
          <w:rFonts w:cstheme="minorHAnsi"/>
          <w:color w:val="000000"/>
        </w:rPr>
        <w:t>Sazba pro služby nad rámec nabídky (např. úpravy funkcionalit nebo vzhledu).</w:t>
      </w:r>
    </w:p>
    <w:p w14:paraId="29134C5D" w14:textId="77777777" w:rsidR="000373B8" w:rsidRDefault="000373B8" w:rsidP="000373B8">
      <w:pPr>
        <w:pStyle w:val="Bezmezer"/>
        <w:ind w:left="720"/>
        <w:jc w:val="both"/>
        <w:rPr>
          <w:rFonts w:cstheme="minorHAnsi"/>
          <w:color w:val="000000"/>
        </w:rPr>
      </w:pPr>
    </w:p>
    <w:p w14:paraId="68A73170" w14:textId="77777777" w:rsidR="000373B8" w:rsidRDefault="002D6D34" w:rsidP="000373B8">
      <w:pPr>
        <w:pStyle w:val="Odstavecseseznamem"/>
        <w:numPr>
          <w:ilvl w:val="0"/>
          <w:numId w:val="19"/>
        </w:numPr>
        <w:autoSpaceDE w:val="0"/>
        <w:autoSpaceDN w:val="0"/>
        <w:adjustRightInd w:val="0"/>
        <w:spacing w:after="0" w:line="240" w:lineRule="auto"/>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2489B8F2" w14:textId="134C13FB" w:rsidR="000B0918" w:rsidRPr="000373B8" w:rsidRDefault="000B0918" w:rsidP="000373B8">
      <w:pPr>
        <w:pStyle w:val="Odstavecseseznamem"/>
        <w:numPr>
          <w:ilvl w:val="0"/>
          <w:numId w:val="19"/>
        </w:numPr>
        <w:autoSpaceDE w:val="0"/>
        <w:autoSpaceDN w:val="0"/>
        <w:adjustRightInd w:val="0"/>
        <w:spacing w:after="0" w:line="240" w:lineRule="auto"/>
        <w:jc w:val="both"/>
        <w:rPr>
          <w:rFonts w:cstheme="minorHAnsi"/>
          <w:color w:val="000000"/>
        </w:rPr>
      </w:pPr>
      <w:r w:rsidRPr="000373B8">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6EA3C882"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0373B8">
        <w:rPr>
          <w:rFonts w:cstheme="minorHAnsi"/>
          <w:color w:val="000000"/>
        </w:rPr>
        <w:t>čtyř</w:t>
      </w:r>
      <w:r w:rsidR="001C32B7">
        <w:rPr>
          <w:rFonts w:cstheme="minorHAnsi"/>
          <w:color w:val="000000"/>
        </w:rPr>
        <w:t xml:space="preserve"> (</w:t>
      </w:r>
      <w:r w:rsidR="000373B8">
        <w:rPr>
          <w:rFonts w:cstheme="minorHAnsi"/>
          <w:color w:val="000000"/>
        </w:rPr>
        <w:t>4</w:t>
      </w:r>
      <w:r w:rsidR="001C32B7">
        <w:rPr>
          <w:rFonts w:cstheme="minorHAnsi"/>
          <w:color w:val="000000"/>
        </w:rPr>
        <w:t>)</w:t>
      </w:r>
      <w:r>
        <w:rPr>
          <w:rFonts w:cstheme="minorHAnsi"/>
          <w:color w:val="000000"/>
        </w:rPr>
        <w:t xml:space="preserve"> </w:t>
      </w:r>
      <w:r w:rsidR="00CB16A8">
        <w:rPr>
          <w:rFonts w:cstheme="minorHAnsi"/>
          <w:color w:val="000000"/>
        </w:rPr>
        <w:t>týdnů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BC6C8B">
        <w:rPr>
          <w:rFonts w:cstheme="minorHAnsi"/>
          <w:color w:val="000000"/>
        </w:rPr>
        <w:t>3</w:t>
      </w:r>
      <w:r w:rsidR="00B474E7">
        <w:rPr>
          <w:rFonts w:cstheme="minorHAnsi"/>
          <w:color w:val="000000"/>
        </w:rPr>
        <w:t>0</w:t>
      </w:r>
      <w:r w:rsidRPr="00386142">
        <w:rPr>
          <w:rFonts w:cstheme="minorHAnsi"/>
          <w:color w:val="000000"/>
        </w:rPr>
        <w:t xml:space="preserve">. </w:t>
      </w:r>
      <w:r w:rsidR="00B474E7">
        <w:rPr>
          <w:rFonts w:cstheme="minorHAnsi"/>
          <w:color w:val="000000"/>
        </w:rPr>
        <w:t>listopadu</w:t>
      </w:r>
      <w:r w:rsidR="004E48A3" w:rsidRPr="00386142">
        <w:rPr>
          <w:rFonts w:cstheme="minorHAnsi"/>
          <w:color w:val="000000"/>
        </w:rPr>
        <w:t xml:space="preserve"> </w:t>
      </w:r>
      <w:r w:rsidR="00C70534" w:rsidRPr="00386142">
        <w:rPr>
          <w:rFonts w:cstheme="minorHAnsi"/>
          <w:color w:val="000000"/>
        </w:rPr>
        <w:t>202</w:t>
      </w:r>
      <w:r w:rsidR="00FD5737">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lastRenderedPageBreak/>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7435F8"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0B5484F1" w:rsidR="007435F8" w:rsidRPr="00CE4CF2" w:rsidRDefault="007435F8" w:rsidP="007435F8">
            <w:pPr>
              <w:spacing w:before="20" w:after="20"/>
              <w:contextualSpacing/>
              <w:rPr>
                <w:rFonts w:cstheme="minorHAnsi"/>
              </w:rPr>
            </w:pP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447CC88C" w:rsidR="007435F8" w:rsidRPr="00CE4CF2" w:rsidRDefault="007435F8" w:rsidP="007435F8">
            <w:pPr>
              <w:spacing w:before="20" w:after="20"/>
              <w:contextualSpacing/>
              <w:jc w:val="center"/>
              <w:rPr>
                <w:rFonts w:cstheme="minorHAnsi"/>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r w:rsidR="000373B8" w14:paraId="29A66481"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tcPr>
          <w:p w14:paraId="038E1EA1" w14:textId="77777777" w:rsidR="000373B8" w:rsidRDefault="000373B8" w:rsidP="000373B8">
            <w:pPr>
              <w:spacing w:before="20" w:after="20"/>
              <w:contextualSpacing/>
              <w:rPr>
                <w:rFonts w:cstheme="minorHAnsi"/>
                <w:color w:val="000000"/>
              </w:rPr>
            </w:pPr>
          </w:p>
        </w:tc>
        <w:tc>
          <w:tcPr>
            <w:tcW w:w="892" w:type="dxa"/>
            <w:tcBorders>
              <w:top w:val="single" w:sz="4" w:space="0" w:color="auto"/>
              <w:left w:val="single" w:sz="4" w:space="0" w:color="auto"/>
              <w:bottom w:val="single" w:sz="4" w:space="0" w:color="auto"/>
              <w:right w:val="single" w:sz="4" w:space="0" w:color="auto"/>
            </w:tcBorders>
            <w:vAlign w:val="center"/>
          </w:tcPr>
          <w:p w14:paraId="7E39A7FA" w14:textId="77777777" w:rsidR="000373B8" w:rsidRDefault="000373B8" w:rsidP="000373B8">
            <w:pPr>
              <w:spacing w:before="20" w:after="20"/>
              <w:contextualSpacing/>
              <w:jc w:val="center"/>
              <w:rPr>
                <w:rFonts w:cstheme="minorHAnsi"/>
              </w:rPr>
            </w:pPr>
          </w:p>
        </w:tc>
        <w:tc>
          <w:tcPr>
            <w:tcW w:w="1606" w:type="dxa"/>
            <w:tcBorders>
              <w:top w:val="single" w:sz="4" w:space="0" w:color="auto"/>
              <w:left w:val="single" w:sz="4" w:space="0" w:color="auto"/>
              <w:bottom w:val="single" w:sz="4" w:space="0" w:color="auto"/>
              <w:right w:val="single" w:sz="4" w:space="0" w:color="auto"/>
            </w:tcBorders>
            <w:vAlign w:val="center"/>
          </w:tcPr>
          <w:p w14:paraId="04EE2972" w14:textId="52BE4C1A" w:rsidR="000373B8" w:rsidRPr="00CE4CF2" w:rsidRDefault="000373B8" w:rsidP="000373B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tcPr>
          <w:p w14:paraId="3FB8A533" w14:textId="697A6BC4" w:rsidR="000373B8" w:rsidRPr="00CE4CF2" w:rsidRDefault="000373B8" w:rsidP="000373B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r w:rsidR="000373B8" w14:paraId="3CD3258E"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tcPr>
          <w:p w14:paraId="1455F337" w14:textId="77777777" w:rsidR="000373B8" w:rsidRDefault="000373B8" w:rsidP="000373B8">
            <w:pPr>
              <w:spacing w:before="20" w:after="20"/>
              <w:contextualSpacing/>
              <w:rPr>
                <w:rFonts w:cstheme="minorHAnsi"/>
                <w:color w:val="000000"/>
              </w:rPr>
            </w:pPr>
          </w:p>
        </w:tc>
        <w:tc>
          <w:tcPr>
            <w:tcW w:w="892" w:type="dxa"/>
            <w:tcBorders>
              <w:top w:val="single" w:sz="4" w:space="0" w:color="auto"/>
              <w:left w:val="single" w:sz="4" w:space="0" w:color="auto"/>
              <w:bottom w:val="single" w:sz="4" w:space="0" w:color="auto"/>
              <w:right w:val="single" w:sz="4" w:space="0" w:color="auto"/>
            </w:tcBorders>
            <w:vAlign w:val="center"/>
          </w:tcPr>
          <w:p w14:paraId="40602F77" w14:textId="77777777" w:rsidR="000373B8" w:rsidRDefault="000373B8" w:rsidP="000373B8">
            <w:pPr>
              <w:spacing w:before="20" w:after="20"/>
              <w:contextualSpacing/>
              <w:jc w:val="center"/>
              <w:rPr>
                <w:rFonts w:cstheme="minorHAnsi"/>
              </w:rPr>
            </w:pPr>
          </w:p>
        </w:tc>
        <w:tc>
          <w:tcPr>
            <w:tcW w:w="1606" w:type="dxa"/>
            <w:tcBorders>
              <w:top w:val="single" w:sz="4" w:space="0" w:color="auto"/>
              <w:left w:val="single" w:sz="4" w:space="0" w:color="auto"/>
              <w:bottom w:val="single" w:sz="4" w:space="0" w:color="auto"/>
              <w:right w:val="single" w:sz="4" w:space="0" w:color="auto"/>
            </w:tcBorders>
            <w:vAlign w:val="center"/>
          </w:tcPr>
          <w:p w14:paraId="4509C1B2" w14:textId="5077CF47" w:rsidR="000373B8" w:rsidRPr="00CE4CF2" w:rsidRDefault="000373B8" w:rsidP="000373B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tcPr>
          <w:p w14:paraId="22589EDC" w14:textId="1F57C70A" w:rsidR="000373B8" w:rsidRPr="00CE4CF2" w:rsidRDefault="000373B8" w:rsidP="000373B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31900978"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r w:rsidR="00B474E7">
        <w:rPr>
          <w:rFonts w:cstheme="minorHAnsi"/>
          <w:color w:val="000000"/>
        </w:rPr>
        <w:t xml:space="preserve"> Faktura včetně příloh bude zaslána ve formě </w:t>
      </w:r>
      <w:proofErr w:type="spellStart"/>
      <w:r w:rsidR="00B474E7">
        <w:rPr>
          <w:rFonts w:cstheme="minorHAnsi"/>
          <w:color w:val="000000"/>
        </w:rPr>
        <w:t>pdf</w:t>
      </w:r>
      <w:proofErr w:type="spellEnd"/>
      <w:r w:rsidR="00B474E7">
        <w:rPr>
          <w:rFonts w:cstheme="minorHAnsi"/>
          <w:color w:val="000000"/>
        </w:rPr>
        <w:t xml:space="preserve"> na e-mail: podatelna@cdv.gov.cz</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32FFEA61"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3599A1BB" w14:textId="77777777" w:rsidR="0057067D" w:rsidRDefault="0057067D" w:rsidP="008168FA">
      <w:pPr>
        <w:autoSpaceDE w:val="0"/>
        <w:autoSpaceDN w:val="0"/>
        <w:adjustRightInd w:val="0"/>
        <w:spacing w:after="0" w:line="240" w:lineRule="auto"/>
        <w:jc w:val="center"/>
        <w:rPr>
          <w:rFonts w:cstheme="minorHAnsi"/>
          <w:b/>
          <w:bCs/>
          <w:color w:val="000000"/>
        </w:rPr>
      </w:pPr>
    </w:p>
    <w:p w14:paraId="6EFB6697" w14:textId="77777777" w:rsidR="0057067D" w:rsidRDefault="0057067D" w:rsidP="008168FA">
      <w:pPr>
        <w:autoSpaceDE w:val="0"/>
        <w:autoSpaceDN w:val="0"/>
        <w:adjustRightInd w:val="0"/>
        <w:spacing w:after="0" w:line="240" w:lineRule="auto"/>
        <w:jc w:val="center"/>
        <w:rPr>
          <w:rFonts w:cstheme="minorHAnsi"/>
          <w:b/>
          <w:bCs/>
          <w:color w:val="000000"/>
        </w:rPr>
      </w:pPr>
    </w:p>
    <w:p w14:paraId="64E324C1" w14:textId="6561AB74"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C89EB63"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w:t>
      </w:r>
      <w:r>
        <w:rPr>
          <w:rFonts w:cstheme="minorHAnsi"/>
          <w:color w:val="000000"/>
        </w:rPr>
        <w:lastRenderedPageBreak/>
        <w:t xml:space="preserve">jakost v délce </w:t>
      </w:r>
      <w:r w:rsidR="000373B8">
        <w:rPr>
          <w:rFonts w:cstheme="minorHAnsi"/>
          <w:color w:val="000000"/>
        </w:rPr>
        <w:t>48</w:t>
      </w:r>
      <w:r>
        <w:rPr>
          <w:rFonts w:cstheme="minorHAnsi"/>
          <w:color w:val="000000"/>
        </w:rPr>
        <w:t xml:space="preserve">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115C6A2F"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w:t>
      </w:r>
      <w:r w:rsidR="004D617F">
        <w:rPr>
          <w:rFonts w:cstheme="minorHAnsi"/>
          <w:color w:val="000000"/>
        </w:rPr>
        <w:t> </w:t>
      </w:r>
      <w:r w:rsidR="004342A8">
        <w:rPr>
          <w:rFonts w:cstheme="minorHAnsi"/>
          <w:color w:val="000000"/>
        </w:rPr>
        <w:t>plnění</w:t>
      </w:r>
      <w:r w:rsidR="004D617F">
        <w:rPr>
          <w:rFonts w:cstheme="minorHAnsi"/>
          <w:color w:val="000000"/>
        </w:rPr>
        <w:t>,</w:t>
      </w:r>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2AD9615F"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814907">
        <w:rPr>
          <w:rFonts w:cstheme="minorHAnsi"/>
          <w:color w:val="000000"/>
        </w:rPr>
        <w:t>3</w:t>
      </w:r>
      <w:r>
        <w:rPr>
          <w:rFonts w:cstheme="minorHAnsi"/>
          <w:color w:val="000000"/>
        </w:rPr>
        <w:t xml:space="preserve">, neukládá-li některý právní předpis lhůtu delší. Dokumentací se míní též případné smlouvy a související dokumenty, které podléhají ochraně podle zvláštních právních předpisů (např. jako obchodní tajemství, utajované skutečnosti) za </w:t>
      </w:r>
      <w:r>
        <w:rPr>
          <w:rFonts w:cstheme="minorHAnsi"/>
          <w:color w:val="000000"/>
        </w:rPr>
        <w:lastRenderedPageBreak/>
        <w:t>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26E686F0"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DB56C9">
        <w:rPr>
          <w:rFonts w:cstheme="minorHAnsi"/>
          <w:color w:val="000000"/>
        </w:rPr>
        <w:t>3</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1DB0BF1E" w14:textId="77777777" w:rsidR="00281814" w:rsidRPr="00281814" w:rsidRDefault="00281814" w:rsidP="00281814">
      <w:pPr>
        <w:pStyle w:val="Odstavecseseznamem"/>
        <w:rPr>
          <w:rFonts w:cstheme="minorHAnsi"/>
          <w:color w:val="000000"/>
        </w:rPr>
      </w:pPr>
    </w:p>
    <w:p w14:paraId="5FECF917" w14:textId="16E991AB" w:rsidR="002D6D34" w:rsidRPr="00281814" w:rsidRDefault="00281814" w:rsidP="00F05E0C">
      <w:pPr>
        <w:pStyle w:val="Odstavecseseznamem"/>
        <w:numPr>
          <w:ilvl w:val="0"/>
          <w:numId w:val="10"/>
        </w:numPr>
        <w:autoSpaceDE w:val="0"/>
        <w:autoSpaceDN w:val="0"/>
        <w:adjustRightInd w:val="0"/>
        <w:spacing w:after="0" w:line="240" w:lineRule="auto"/>
        <w:ind w:left="0"/>
        <w:jc w:val="both"/>
        <w:rPr>
          <w:rFonts w:cstheme="minorHAnsi"/>
          <w:color w:val="000000"/>
        </w:rPr>
      </w:pPr>
      <w:r w:rsidRPr="00281814">
        <w:rPr>
          <w:rFonts w:cstheme="minorHAnsi"/>
          <w:color w:val="000000"/>
        </w:rPr>
        <w:t>Tato Smlouva je vyhotovena v takovém počtu stejnopisů, aby každá Smluvní strana obdržela po jednom vyhotovení. V případě, že je tato Smlouva uzavírána elektronicky za využití uznávaných elektronických podpisů, postačí jedno vyhotovení, na kterém jsou zaznamenány uznávané elektronické podpisy zástupců Smluvních stran.</w:t>
      </w:r>
    </w:p>
    <w:p w14:paraId="500F0738"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2654D3AE" w14:textId="19861714" w:rsidR="00745129" w:rsidRDefault="002D6D34" w:rsidP="00281814">
      <w:pPr>
        <w:tabs>
          <w:tab w:val="center" w:pos="1843"/>
          <w:tab w:val="center" w:pos="6521"/>
        </w:tabs>
        <w:autoSpaceDE w:val="0"/>
        <w:autoSpaceDN w:val="0"/>
        <w:adjustRightInd w:val="0"/>
        <w:spacing w:after="0" w:line="240" w:lineRule="auto"/>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B926EBF"/>
    <w:multiLevelType w:val="hybridMultilevel"/>
    <w:tmpl w:val="DCC642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BCC19A1"/>
    <w:multiLevelType w:val="hybridMultilevel"/>
    <w:tmpl w:val="DD546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7"/>
  </w:num>
  <w:num w:numId="15" w16cid:durableId="1947233086">
    <w:abstractNumId w:val="4"/>
  </w:num>
  <w:num w:numId="16" w16cid:durableId="628895907">
    <w:abstractNumId w:val="0"/>
  </w:num>
  <w:num w:numId="17" w16cid:durableId="765346323">
    <w:abstractNumId w:val="6"/>
  </w:num>
  <w:num w:numId="18" w16cid:durableId="936250800">
    <w:abstractNumId w:val="13"/>
  </w:num>
  <w:num w:numId="19" w16cid:durableId="1466386615">
    <w:abstractNumId w:val="9"/>
  </w:num>
  <w:num w:numId="20" w16cid:durableId="310137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373B8"/>
    <w:rsid w:val="000401EF"/>
    <w:rsid w:val="000866AC"/>
    <w:rsid w:val="000B0918"/>
    <w:rsid w:val="000E1BF0"/>
    <w:rsid w:val="000E59C5"/>
    <w:rsid w:val="00147BF4"/>
    <w:rsid w:val="001618DF"/>
    <w:rsid w:val="00166090"/>
    <w:rsid w:val="001C32B7"/>
    <w:rsid w:val="001C797E"/>
    <w:rsid w:val="0023135A"/>
    <w:rsid w:val="00236582"/>
    <w:rsid w:val="00263B84"/>
    <w:rsid w:val="00280F40"/>
    <w:rsid w:val="00281814"/>
    <w:rsid w:val="002C2E86"/>
    <w:rsid w:val="002D6D34"/>
    <w:rsid w:val="00386142"/>
    <w:rsid w:val="003A3C35"/>
    <w:rsid w:val="003F1CA9"/>
    <w:rsid w:val="004342A8"/>
    <w:rsid w:val="00452B99"/>
    <w:rsid w:val="004D617F"/>
    <w:rsid w:val="004E48A3"/>
    <w:rsid w:val="0057067D"/>
    <w:rsid w:val="005A10E2"/>
    <w:rsid w:val="005C4A76"/>
    <w:rsid w:val="006E46DC"/>
    <w:rsid w:val="00706B5B"/>
    <w:rsid w:val="00711A11"/>
    <w:rsid w:val="00725A49"/>
    <w:rsid w:val="007435F8"/>
    <w:rsid w:val="00745129"/>
    <w:rsid w:val="00792691"/>
    <w:rsid w:val="007C2923"/>
    <w:rsid w:val="00812A61"/>
    <w:rsid w:val="00814907"/>
    <w:rsid w:val="008168FA"/>
    <w:rsid w:val="00884286"/>
    <w:rsid w:val="008A29A9"/>
    <w:rsid w:val="008F46D4"/>
    <w:rsid w:val="00935D7A"/>
    <w:rsid w:val="0097225E"/>
    <w:rsid w:val="009817E7"/>
    <w:rsid w:val="00994FCF"/>
    <w:rsid w:val="009F7A49"/>
    <w:rsid w:val="00A011ED"/>
    <w:rsid w:val="00A256A7"/>
    <w:rsid w:val="00A76BFA"/>
    <w:rsid w:val="00B42CF0"/>
    <w:rsid w:val="00B474E7"/>
    <w:rsid w:val="00B543CE"/>
    <w:rsid w:val="00B6758F"/>
    <w:rsid w:val="00BC6C8B"/>
    <w:rsid w:val="00C35961"/>
    <w:rsid w:val="00C47015"/>
    <w:rsid w:val="00C70534"/>
    <w:rsid w:val="00C904D8"/>
    <w:rsid w:val="00CB16A8"/>
    <w:rsid w:val="00CE4CF2"/>
    <w:rsid w:val="00DB56C9"/>
    <w:rsid w:val="00DC61B1"/>
    <w:rsid w:val="00E22EDF"/>
    <w:rsid w:val="00E87EF3"/>
    <w:rsid w:val="00EC4EF0"/>
    <w:rsid w:val="00EE0CE0"/>
    <w:rsid w:val="00F704A4"/>
    <w:rsid w:val="00F71E01"/>
    <w:rsid w:val="00F73D1D"/>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26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2016</Words>
  <Characters>11899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2025-10-13T09:08:00Z</dcterms:created>
  <dcterms:modified xsi:type="dcterms:W3CDTF">2025-10-13T09:08:00Z</dcterms:modified>
</cp:coreProperties>
</file>