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A4CA84" w14:textId="0A431C94" w:rsidR="00DD268E" w:rsidRPr="001B1265" w:rsidRDefault="007978B9" w:rsidP="001B1265">
      <w:pPr>
        <w:pBdr>
          <w:bottom w:val="single" w:sz="18" w:space="1" w:color="auto"/>
        </w:pBdr>
        <w:spacing w:after="120"/>
        <w:jc w:val="center"/>
        <w:rPr>
          <w:rFonts w:ascii="Cambria" w:hAnsi="Cambria"/>
          <w:b/>
          <w:bCs/>
          <w:sz w:val="44"/>
          <w:szCs w:val="44"/>
        </w:rPr>
      </w:pPr>
      <w:r w:rsidRPr="001B1265">
        <w:rPr>
          <w:rFonts w:ascii="Cambria" w:hAnsi="Cambria"/>
          <w:b/>
          <w:bCs/>
          <w:sz w:val="44"/>
          <w:szCs w:val="44"/>
        </w:rPr>
        <w:t>UPOZORNĚNÍ – DNSH</w:t>
      </w:r>
    </w:p>
    <w:p w14:paraId="31614064" w14:textId="71AFF12F" w:rsidR="00DD268E" w:rsidRPr="001B1265" w:rsidRDefault="00DD268E" w:rsidP="00DD268E">
      <w:pPr>
        <w:spacing w:after="0"/>
        <w:jc w:val="both"/>
        <w:rPr>
          <w:rFonts w:ascii="Cambria" w:hAnsi="Cambria"/>
        </w:rPr>
      </w:pPr>
      <w:r w:rsidRPr="001B1265">
        <w:rPr>
          <w:rFonts w:ascii="Cambria" w:hAnsi="Cambria"/>
        </w:rPr>
        <w:t xml:space="preserve">Veškeré aktivity projektu musí být realizovány v souladu s cíli a zásadami udržitelného rozvoje a zásadou „významně nepoškozovat“ (dále jen „DNSH“) v oblasti životního prostředí: </w:t>
      </w:r>
    </w:p>
    <w:p w14:paraId="06883943" w14:textId="77777777" w:rsidR="00DD268E" w:rsidRPr="001B1265" w:rsidRDefault="00DD268E" w:rsidP="00DD268E">
      <w:pPr>
        <w:spacing w:after="0"/>
        <w:jc w:val="both"/>
        <w:rPr>
          <w:rFonts w:ascii="Cambria" w:hAnsi="Cambria"/>
        </w:rPr>
      </w:pPr>
    </w:p>
    <w:p w14:paraId="6710C6FB" w14:textId="77777777" w:rsidR="00DD268E" w:rsidRPr="001B1265" w:rsidRDefault="00DD268E" w:rsidP="00DD268E">
      <w:pPr>
        <w:spacing w:after="120"/>
        <w:jc w:val="both"/>
        <w:rPr>
          <w:rFonts w:ascii="Cambria" w:hAnsi="Cambria"/>
        </w:rPr>
      </w:pPr>
      <w:r w:rsidRPr="001B1265">
        <w:rPr>
          <w:rFonts w:ascii="Cambria" w:hAnsi="Cambria"/>
          <w:u w:val="single"/>
        </w:rPr>
        <w:t>Udržitelné využívání a ochrana vodních zdrojů:</w:t>
      </w:r>
      <w:r w:rsidRPr="001B1265">
        <w:rPr>
          <w:rFonts w:ascii="Cambria" w:hAnsi="Cambria"/>
        </w:rPr>
        <w:t xml:space="preserve"> </w:t>
      </w:r>
    </w:p>
    <w:p w14:paraId="163A8F4C" w14:textId="77777777" w:rsidR="00DD268E" w:rsidRPr="001B1265" w:rsidRDefault="00DD268E" w:rsidP="00DD268E">
      <w:pPr>
        <w:jc w:val="both"/>
        <w:rPr>
          <w:rFonts w:ascii="Cambria" w:hAnsi="Cambria"/>
        </w:rPr>
      </w:pPr>
      <w:r w:rsidRPr="001B1265">
        <w:rPr>
          <w:rFonts w:ascii="Cambria" w:hAnsi="Cambria"/>
        </w:rPr>
        <w:t xml:space="preserve">Jsou-li instalována tato zařízení k využívání vody, je pro ně uvedená spotřeba vody doložena technickými listy výrobku, stavební certifikací nebo stávajícím štítkem výrobku v EU: </w:t>
      </w:r>
    </w:p>
    <w:p w14:paraId="7336FB59" w14:textId="77777777" w:rsidR="00DD268E" w:rsidRPr="001B1265" w:rsidRDefault="00DD268E" w:rsidP="00DD268E">
      <w:pPr>
        <w:pStyle w:val="Odstavecseseznamem"/>
        <w:numPr>
          <w:ilvl w:val="0"/>
          <w:numId w:val="1"/>
        </w:numPr>
        <w:jc w:val="both"/>
        <w:rPr>
          <w:rFonts w:ascii="Cambria" w:hAnsi="Cambria"/>
        </w:rPr>
      </w:pPr>
      <w:r w:rsidRPr="001B1265">
        <w:rPr>
          <w:rFonts w:ascii="Cambria" w:hAnsi="Cambria"/>
        </w:rPr>
        <w:t xml:space="preserve">umyvadlové baterie a kuchyňské baterie mají maximální průtok vody 6 litrů/min; </w:t>
      </w:r>
    </w:p>
    <w:p w14:paraId="2F2FE7AC" w14:textId="77777777" w:rsidR="00DD268E" w:rsidRPr="001B1265" w:rsidRDefault="00DD268E" w:rsidP="00DD268E">
      <w:pPr>
        <w:pStyle w:val="Odstavecseseznamem"/>
        <w:numPr>
          <w:ilvl w:val="0"/>
          <w:numId w:val="1"/>
        </w:numPr>
        <w:jc w:val="both"/>
        <w:rPr>
          <w:rFonts w:ascii="Cambria" w:hAnsi="Cambria"/>
        </w:rPr>
      </w:pPr>
      <w:r w:rsidRPr="001B1265">
        <w:rPr>
          <w:rFonts w:ascii="Cambria" w:hAnsi="Cambria"/>
        </w:rPr>
        <w:t xml:space="preserve">sprchy mají maximální průtok vody 8 litrů/min; </w:t>
      </w:r>
    </w:p>
    <w:p w14:paraId="75EC2DA0" w14:textId="77777777" w:rsidR="00DD268E" w:rsidRPr="001B1265" w:rsidRDefault="00DD268E" w:rsidP="00DD268E">
      <w:pPr>
        <w:pStyle w:val="Odstavecseseznamem"/>
        <w:numPr>
          <w:ilvl w:val="0"/>
          <w:numId w:val="1"/>
        </w:numPr>
        <w:jc w:val="both"/>
        <w:rPr>
          <w:rFonts w:ascii="Cambria" w:hAnsi="Cambria"/>
        </w:rPr>
      </w:pPr>
      <w:r w:rsidRPr="001B1265">
        <w:rPr>
          <w:rFonts w:ascii="Cambria" w:hAnsi="Cambria"/>
        </w:rPr>
        <w:t xml:space="preserve">WC, zahrnující soupravy, mísy a splachovací nádrže, mají úplný objem splachovací vody maximálně 6 litrů a maximální průměrný objem splachovací vody 3,5 litru; </w:t>
      </w:r>
    </w:p>
    <w:p w14:paraId="3C9F93B1" w14:textId="200DE8AC" w:rsidR="00DD268E" w:rsidRPr="001B1265" w:rsidRDefault="00DD268E" w:rsidP="00DD268E">
      <w:pPr>
        <w:pStyle w:val="Odstavecseseznamem"/>
        <w:numPr>
          <w:ilvl w:val="0"/>
          <w:numId w:val="1"/>
        </w:numPr>
        <w:spacing w:after="0"/>
        <w:ind w:left="714" w:hanging="357"/>
        <w:contextualSpacing w:val="0"/>
        <w:jc w:val="both"/>
        <w:rPr>
          <w:rFonts w:ascii="Cambria" w:hAnsi="Cambria"/>
        </w:rPr>
      </w:pPr>
      <w:r w:rsidRPr="001B1265">
        <w:rPr>
          <w:rFonts w:ascii="Cambria" w:hAnsi="Cambria"/>
        </w:rPr>
        <w:t>pisoáry spotřebují maximálně 2 litry/mísu/hodinu. Splachovací pisoáry mají maximální úplný objem splachovací vody 1 litr.</w:t>
      </w:r>
    </w:p>
    <w:p w14:paraId="3A7F108D" w14:textId="77777777" w:rsidR="00DD268E" w:rsidRPr="001B1265" w:rsidRDefault="00DD268E" w:rsidP="00DD268E">
      <w:pPr>
        <w:spacing w:after="0"/>
        <w:jc w:val="both"/>
        <w:rPr>
          <w:rFonts w:ascii="Cambria" w:hAnsi="Cambria"/>
        </w:rPr>
      </w:pPr>
    </w:p>
    <w:p w14:paraId="6CA882B1" w14:textId="77777777" w:rsidR="00DD268E" w:rsidRPr="001B1265" w:rsidRDefault="00DD268E" w:rsidP="00DD268E">
      <w:pPr>
        <w:spacing w:after="120"/>
        <w:jc w:val="both"/>
        <w:rPr>
          <w:rFonts w:ascii="Cambria" w:hAnsi="Cambria"/>
        </w:rPr>
      </w:pPr>
      <w:r w:rsidRPr="001B1265">
        <w:rPr>
          <w:rFonts w:ascii="Cambria" w:hAnsi="Cambria"/>
          <w:u w:val="single"/>
        </w:rPr>
        <w:t>Přechod na oběhové hospodářství:</w:t>
      </w:r>
      <w:r w:rsidRPr="001B1265">
        <w:rPr>
          <w:rFonts w:ascii="Cambria" w:hAnsi="Cambria"/>
        </w:rPr>
        <w:t xml:space="preserve"> </w:t>
      </w:r>
    </w:p>
    <w:p w14:paraId="4C43847B" w14:textId="0A99DE35" w:rsidR="00DD268E" w:rsidRPr="001B1265" w:rsidRDefault="00DD268E" w:rsidP="00DD268E">
      <w:pPr>
        <w:jc w:val="both"/>
        <w:rPr>
          <w:rFonts w:ascii="Cambria" w:hAnsi="Cambria"/>
        </w:rPr>
      </w:pPr>
      <w:r w:rsidRPr="001B1265">
        <w:rPr>
          <w:rFonts w:ascii="Cambria" w:hAnsi="Cambria"/>
        </w:rPr>
        <w:t>Nejméně 70 % (hmotnostních) stavebního a demoličního odpadu neklasifikovaného jako nebezpečný (s výjimkou v přírodě se vyskytujících materiálů uvedených v kategorii 17 05 04 v Evropském seznamu odpadů stanoveném rozhodnutím 2000/532/ES) vzniklého na staveništi musí být připraveno k opětovnému použití, recyklaci a k jiným druhům materiálového využití, včetně zásypů, při nichž jsou jiné materiály nahrazeny odpadem, v souladu s hierarchií způsobů nakládání s odpady a protokolem EU pro nakládání se stavebním a demoličním odpadem.</w:t>
      </w:r>
    </w:p>
    <w:p w14:paraId="5A210FDD" w14:textId="77777777" w:rsidR="00DD268E" w:rsidRPr="001B1265" w:rsidRDefault="00DD268E" w:rsidP="00DD268E">
      <w:pPr>
        <w:spacing w:after="0"/>
        <w:jc w:val="both"/>
        <w:rPr>
          <w:rFonts w:ascii="Cambria" w:hAnsi="Cambria"/>
        </w:rPr>
      </w:pPr>
    </w:p>
    <w:p w14:paraId="07F1F16D" w14:textId="77777777" w:rsidR="00DD268E" w:rsidRPr="001B1265" w:rsidRDefault="00DD268E" w:rsidP="00DD268E">
      <w:pPr>
        <w:spacing w:after="120"/>
        <w:jc w:val="both"/>
        <w:rPr>
          <w:rFonts w:ascii="Cambria" w:hAnsi="Cambria"/>
        </w:rPr>
      </w:pPr>
      <w:r w:rsidRPr="001B1265">
        <w:rPr>
          <w:rFonts w:ascii="Cambria" w:hAnsi="Cambria"/>
          <w:u w:val="single"/>
        </w:rPr>
        <w:t>Prevence a omezování znečištění:</w:t>
      </w:r>
      <w:r w:rsidRPr="001B1265">
        <w:rPr>
          <w:rFonts w:ascii="Cambria" w:hAnsi="Cambria"/>
        </w:rPr>
        <w:t xml:space="preserve"> </w:t>
      </w:r>
    </w:p>
    <w:p w14:paraId="0437332B" w14:textId="77777777" w:rsidR="00DD268E" w:rsidRPr="001B1265" w:rsidRDefault="00DD268E" w:rsidP="00DD268E">
      <w:pPr>
        <w:spacing w:after="120"/>
        <w:jc w:val="both"/>
        <w:rPr>
          <w:rFonts w:ascii="Cambria" w:hAnsi="Cambria"/>
        </w:rPr>
      </w:pPr>
      <w:r w:rsidRPr="001B1265">
        <w:rPr>
          <w:rFonts w:ascii="Cambria" w:hAnsi="Cambria"/>
        </w:rPr>
        <w:t xml:space="preserve">Ze stavebních prvků a materiálů použitých při stavbě, které mohou přijít do styku s uživateli, se při zkouškách v souladu s podmínkami uvedenými v příloze XVII nařízení Evropského parlamentu a Rady (ES) č. 1907/2006 uvolňuje méně než 0,06 mg formaldehydu na m³ materiálu nebo prvku a při zkouškách podle normy CEN/EN 16516 a ISO 16000-3:2011 nebo jiných srovnatelných standardizovaných zkušebních podmínek a metod stanovení méně než 0,001 mg jiných karcinogenních těkavých organických sloučenin kategorie 1A a 1B na m³ materiálu nebo prvku.  </w:t>
      </w:r>
    </w:p>
    <w:p w14:paraId="649B1719" w14:textId="77777777" w:rsidR="00DD268E" w:rsidRPr="001B1265" w:rsidRDefault="00DD268E" w:rsidP="00DD268E">
      <w:pPr>
        <w:spacing w:after="120"/>
        <w:jc w:val="both"/>
        <w:rPr>
          <w:rFonts w:ascii="Cambria" w:hAnsi="Cambria"/>
        </w:rPr>
      </w:pPr>
      <w:r w:rsidRPr="001B1265">
        <w:rPr>
          <w:rFonts w:ascii="Cambria" w:hAnsi="Cambria"/>
        </w:rPr>
        <w:t xml:space="preserve">Pokud je nová stavba umístěna na potenciálně kontaminovaném místě (brownfield), bylo na staveništi provedeno šetření na potenciální kontaminující látky, například podle normy ISO 18400. </w:t>
      </w:r>
    </w:p>
    <w:p w14:paraId="2DC437F5" w14:textId="54B2A61A" w:rsidR="00DD268E" w:rsidRPr="001B1265" w:rsidRDefault="00DD268E" w:rsidP="00DD268E">
      <w:pPr>
        <w:spacing w:after="120"/>
        <w:jc w:val="both"/>
        <w:rPr>
          <w:rFonts w:ascii="Cambria" w:hAnsi="Cambria"/>
        </w:rPr>
      </w:pPr>
      <w:r w:rsidRPr="001B1265">
        <w:rPr>
          <w:rFonts w:ascii="Cambria" w:hAnsi="Cambria"/>
        </w:rPr>
        <w:t>Přijímají se opatření ke snížení hluku, prachu a emisí znečišťujících látek při stavebních nebo údržbářských pracích.</w:t>
      </w:r>
    </w:p>
    <w:p w14:paraId="7A4CAEFE" w14:textId="77777777" w:rsidR="00DD268E" w:rsidRPr="001B1265" w:rsidRDefault="00DD268E" w:rsidP="00DD268E">
      <w:pPr>
        <w:spacing w:after="0"/>
        <w:jc w:val="both"/>
        <w:rPr>
          <w:rFonts w:ascii="Cambria" w:hAnsi="Cambria"/>
        </w:rPr>
      </w:pPr>
    </w:p>
    <w:p w14:paraId="2B694220" w14:textId="77777777" w:rsidR="00DD268E" w:rsidRPr="001B1265" w:rsidRDefault="00DD268E" w:rsidP="00DD268E">
      <w:pPr>
        <w:spacing w:after="120"/>
        <w:jc w:val="both"/>
        <w:rPr>
          <w:rFonts w:ascii="Cambria" w:hAnsi="Cambria"/>
        </w:rPr>
      </w:pPr>
      <w:r w:rsidRPr="001B1265">
        <w:rPr>
          <w:rFonts w:ascii="Cambria" w:hAnsi="Cambria"/>
          <w:u w:val="single"/>
        </w:rPr>
        <w:t>Ochrana a obnova biologické rozmanitosti a ekosystémů:</w:t>
      </w:r>
      <w:r w:rsidRPr="001B1265">
        <w:rPr>
          <w:rFonts w:ascii="Cambria" w:hAnsi="Cambria"/>
        </w:rPr>
        <w:t xml:space="preserve"> </w:t>
      </w:r>
    </w:p>
    <w:p w14:paraId="1622A3E6" w14:textId="77777777" w:rsidR="00DD268E" w:rsidRPr="001B1265" w:rsidRDefault="00DD268E" w:rsidP="00DD268E">
      <w:pPr>
        <w:spacing w:after="120"/>
        <w:jc w:val="both"/>
        <w:rPr>
          <w:rFonts w:ascii="Cambria" w:hAnsi="Cambria"/>
        </w:rPr>
      </w:pPr>
      <w:r w:rsidRPr="001B1265">
        <w:rPr>
          <w:rFonts w:ascii="Cambria" w:hAnsi="Cambria"/>
        </w:rPr>
        <w:t xml:space="preserve">Nová budova není postavena na: </w:t>
      </w:r>
    </w:p>
    <w:p w14:paraId="574D3E1B" w14:textId="77777777" w:rsidR="00DD268E" w:rsidRPr="001B1265" w:rsidRDefault="00DD268E" w:rsidP="00DD268E">
      <w:pPr>
        <w:pStyle w:val="Odstavecseseznamem"/>
        <w:numPr>
          <w:ilvl w:val="0"/>
          <w:numId w:val="2"/>
        </w:numPr>
        <w:spacing w:after="120"/>
        <w:jc w:val="both"/>
        <w:rPr>
          <w:rFonts w:ascii="Cambria" w:hAnsi="Cambria"/>
        </w:rPr>
      </w:pPr>
      <w:r w:rsidRPr="001B1265">
        <w:rPr>
          <w:rFonts w:ascii="Cambria" w:hAnsi="Cambria"/>
        </w:rPr>
        <w:t xml:space="preserve">orné půdě a zemědělské půdě se střední až vysokou úrovní úrodnosti a podzemní biologické rozmanitosti podle průzkumu EU LUCAS </w:t>
      </w:r>
    </w:p>
    <w:p w14:paraId="4BD4B7A7" w14:textId="77777777" w:rsidR="00DD268E" w:rsidRPr="001B1265" w:rsidRDefault="00DD268E" w:rsidP="00DD268E">
      <w:pPr>
        <w:pStyle w:val="Odstavecseseznamem"/>
        <w:numPr>
          <w:ilvl w:val="0"/>
          <w:numId w:val="2"/>
        </w:numPr>
        <w:spacing w:after="120"/>
        <w:jc w:val="both"/>
        <w:rPr>
          <w:rFonts w:ascii="Cambria" w:hAnsi="Cambria"/>
        </w:rPr>
      </w:pPr>
      <w:r w:rsidRPr="001B1265">
        <w:rPr>
          <w:rFonts w:ascii="Cambria" w:hAnsi="Cambria"/>
        </w:rPr>
        <w:t xml:space="preserve">zelené louce s uznávanou vysokou hodnotou biologické rozmanitosti a půdě, která slouží jako stanoviště ohrožených druhů (flóry a fauny) uvedených na Evropském červeném seznamu nebo na Červeném seznamu ohrožených druhů IUCN </w:t>
      </w:r>
    </w:p>
    <w:p w14:paraId="06DBBAE1" w14:textId="01B7F858" w:rsidR="00DD268E" w:rsidRPr="001B1265" w:rsidRDefault="00DD268E" w:rsidP="00DD268E">
      <w:pPr>
        <w:pStyle w:val="Odstavecseseznamem"/>
        <w:numPr>
          <w:ilvl w:val="0"/>
          <w:numId w:val="2"/>
        </w:numPr>
        <w:spacing w:after="120"/>
        <w:jc w:val="both"/>
        <w:rPr>
          <w:rFonts w:ascii="Cambria" w:hAnsi="Cambria"/>
        </w:rPr>
      </w:pPr>
      <w:r w:rsidRPr="001B1265">
        <w:rPr>
          <w:rFonts w:ascii="Cambria" w:hAnsi="Cambria"/>
        </w:rPr>
        <w:lastRenderedPageBreak/>
        <w:t>půdě, která odpovídá definici lesa stanovené ve vnitrostátních právních předpisech nebo používané v národní inventuře skleníkových plynů, nebo pokud taková definice neexistuje, půdě, která je v souladu s definicí lesa podle FAO</w:t>
      </w:r>
    </w:p>
    <w:p w14:paraId="0B11BA90" w14:textId="77777777" w:rsidR="001B1265" w:rsidRPr="001B1265" w:rsidRDefault="001B1265" w:rsidP="001B1265">
      <w:pPr>
        <w:spacing w:after="120"/>
        <w:jc w:val="both"/>
        <w:rPr>
          <w:rFonts w:ascii="Cambria" w:hAnsi="Cambria"/>
        </w:rPr>
      </w:pPr>
    </w:p>
    <w:p w14:paraId="12C74F09" w14:textId="76716B44" w:rsidR="001B1265" w:rsidRPr="001B1265" w:rsidRDefault="001B1265" w:rsidP="00684CB3">
      <w:pPr>
        <w:pBdr>
          <w:top w:val="single" w:sz="18" w:space="1" w:color="auto"/>
        </w:pBdr>
        <w:spacing w:after="120"/>
        <w:jc w:val="both"/>
        <w:rPr>
          <w:rFonts w:ascii="Cambria" w:hAnsi="Cambria"/>
          <w:b/>
          <w:bCs/>
        </w:rPr>
      </w:pPr>
      <w:r w:rsidRPr="001B1265">
        <w:rPr>
          <w:rFonts w:ascii="Cambria" w:hAnsi="Cambria"/>
          <w:b/>
          <w:bCs/>
        </w:rPr>
        <w:t>Dodavatel se zavazuje v případě plnění předmětu zakázky plně respektovat a dodržovat výše uvedené a pro realizaci předmětu zakázky relevantní podmínky DNSH.</w:t>
      </w:r>
    </w:p>
    <w:p w14:paraId="34012F43" w14:textId="77777777" w:rsidR="001B1265" w:rsidRPr="001B1265" w:rsidRDefault="001B1265" w:rsidP="001B1265">
      <w:pPr>
        <w:spacing w:after="120"/>
        <w:jc w:val="both"/>
        <w:rPr>
          <w:rFonts w:ascii="Cambria" w:hAnsi="Cambria"/>
        </w:rPr>
      </w:pPr>
    </w:p>
    <w:p w14:paraId="65E82638" w14:textId="77777777" w:rsidR="001B1265" w:rsidRPr="001B1265" w:rsidRDefault="001B1265" w:rsidP="001B1265">
      <w:pPr>
        <w:rPr>
          <w:rFonts w:ascii="Cambria" w:hAnsi="Cambria"/>
        </w:rPr>
      </w:pPr>
      <w:r w:rsidRPr="001B1265">
        <w:rPr>
          <w:rFonts w:ascii="Cambria" w:hAnsi="Cambria"/>
        </w:rPr>
        <w:t>V</w:t>
      </w:r>
      <w:bookmarkStart w:id="0" w:name="Text5"/>
      <w:r w:rsidRPr="001B1265">
        <w:rPr>
          <w:rFonts w:ascii="Cambria" w:hAnsi="Cambria"/>
          <w:highlight w:val="yellow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1B1265">
        <w:rPr>
          <w:rFonts w:ascii="Cambria" w:hAnsi="Cambria"/>
          <w:highlight w:val="yellow"/>
        </w:rPr>
        <w:instrText xml:space="preserve"> FORMTEXT </w:instrText>
      </w:r>
      <w:r w:rsidRPr="001B1265">
        <w:rPr>
          <w:rFonts w:ascii="Cambria" w:hAnsi="Cambria"/>
          <w:highlight w:val="yellow"/>
        </w:rPr>
      </w:r>
      <w:r w:rsidRPr="001B1265">
        <w:rPr>
          <w:rFonts w:ascii="Cambria" w:hAnsi="Cambria"/>
          <w:highlight w:val="yellow"/>
        </w:rPr>
        <w:fldChar w:fldCharType="separate"/>
      </w:r>
      <w:r w:rsidRPr="001B1265">
        <w:rPr>
          <w:rFonts w:ascii="Cambria" w:hAnsi="Cambria"/>
          <w:noProof/>
          <w:highlight w:val="yellow"/>
        </w:rPr>
        <w:t> </w:t>
      </w:r>
      <w:r w:rsidRPr="001B1265">
        <w:rPr>
          <w:rFonts w:ascii="Cambria" w:hAnsi="Cambria"/>
          <w:noProof/>
          <w:highlight w:val="yellow"/>
        </w:rPr>
        <w:t> </w:t>
      </w:r>
      <w:r w:rsidRPr="001B1265">
        <w:rPr>
          <w:rFonts w:ascii="Cambria" w:hAnsi="Cambria"/>
          <w:noProof/>
          <w:highlight w:val="yellow"/>
        </w:rPr>
        <w:t> </w:t>
      </w:r>
      <w:r w:rsidRPr="001B1265">
        <w:rPr>
          <w:rFonts w:ascii="Cambria" w:hAnsi="Cambria"/>
          <w:noProof/>
          <w:highlight w:val="yellow"/>
        </w:rPr>
        <w:t> </w:t>
      </w:r>
      <w:r w:rsidRPr="001B1265">
        <w:rPr>
          <w:rFonts w:ascii="Cambria" w:hAnsi="Cambria"/>
          <w:noProof/>
          <w:highlight w:val="yellow"/>
        </w:rPr>
        <w:t> </w:t>
      </w:r>
      <w:r w:rsidRPr="001B1265">
        <w:rPr>
          <w:rFonts w:ascii="Cambria" w:hAnsi="Cambria"/>
          <w:highlight w:val="yellow"/>
        </w:rPr>
        <w:fldChar w:fldCharType="end"/>
      </w:r>
      <w:bookmarkEnd w:id="0"/>
      <w:r w:rsidRPr="001B1265">
        <w:rPr>
          <w:rFonts w:ascii="Cambria" w:hAnsi="Cambria"/>
        </w:rPr>
        <w:t>, dne</w:t>
      </w:r>
      <w:bookmarkStart w:id="1" w:name="Text6"/>
      <w:r w:rsidRPr="001B1265">
        <w:rPr>
          <w:rFonts w:ascii="Cambria" w:hAnsi="Cambria"/>
          <w:highlight w:val="yellow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1B1265">
        <w:rPr>
          <w:rFonts w:ascii="Cambria" w:hAnsi="Cambria"/>
          <w:highlight w:val="yellow"/>
        </w:rPr>
        <w:instrText xml:space="preserve"> FORMTEXT </w:instrText>
      </w:r>
      <w:r w:rsidRPr="001B1265">
        <w:rPr>
          <w:rFonts w:ascii="Cambria" w:hAnsi="Cambria"/>
          <w:highlight w:val="yellow"/>
        </w:rPr>
      </w:r>
      <w:r w:rsidRPr="001B1265">
        <w:rPr>
          <w:rFonts w:ascii="Cambria" w:hAnsi="Cambria"/>
          <w:highlight w:val="yellow"/>
        </w:rPr>
        <w:fldChar w:fldCharType="separate"/>
      </w:r>
      <w:r w:rsidRPr="001B1265">
        <w:rPr>
          <w:rFonts w:ascii="Cambria" w:hAnsi="Cambria"/>
          <w:noProof/>
          <w:highlight w:val="yellow"/>
        </w:rPr>
        <w:t> </w:t>
      </w:r>
      <w:r w:rsidRPr="001B1265">
        <w:rPr>
          <w:rFonts w:ascii="Cambria" w:hAnsi="Cambria"/>
          <w:noProof/>
          <w:highlight w:val="yellow"/>
        </w:rPr>
        <w:t> </w:t>
      </w:r>
      <w:r w:rsidRPr="001B1265">
        <w:rPr>
          <w:rFonts w:ascii="Cambria" w:hAnsi="Cambria"/>
          <w:noProof/>
          <w:highlight w:val="yellow"/>
        </w:rPr>
        <w:t> </w:t>
      </w:r>
      <w:r w:rsidRPr="001B1265">
        <w:rPr>
          <w:rFonts w:ascii="Cambria" w:hAnsi="Cambria"/>
          <w:noProof/>
          <w:highlight w:val="yellow"/>
        </w:rPr>
        <w:t> </w:t>
      </w:r>
      <w:r w:rsidRPr="001B1265">
        <w:rPr>
          <w:rFonts w:ascii="Cambria" w:hAnsi="Cambria"/>
          <w:noProof/>
          <w:highlight w:val="yellow"/>
        </w:rPr>
        <w:t> </w:t>
      </w:r>
      <w:r w:rsidRPr="001B1265">
        <w:rPr>
          <w:rFonts w:ascii="Cambria" w:hAnsi="Cambria"/>
          <w:highlight w:val="yellow"/>
        </w:rPr>
        <w:fldChar w:fldCharType="end"/>
      </w:r>
      <w:bookmarkEnd w:id="1"/>
    </w:p>
    <w:p w14:paraId="160F2B0E" w14:textId="77777777" w:rsidR="001B1265" w:rsidRPr="001B1265" w:rsidRDefault="001B1265" w:rsidP="001B1265">
      <w:pPr>
        <w:rPr>
          <w:rFonts w:ascii="Cambria" w:hAnsi="Cambria"/>
        </w:rPr>
      </w:pPr>
    </w:p>
    <w:p w14:paraId="5EF38376" w14:textId="77777777" w:rsidR="001B1265" w:rsidRPr="001B1265" w:rsidRDefault="001B1265" w:rsidP="001B1265">
      <w:pPr>
        <w:rPr>
          <w:rFonts w:ascii="Cambria" w:hAnsi="Cambria"/>
        </w:rPr>
      </w:pPr>
    </w:p>
    <w:p w14:paraId="3F073BBB" w14:textId="77777777" w:rsidR="001B1265" w:rsidRPr="001B1265" w:rsidRDefault="001B1265" w:rsidP="001B1265">
      <w:pPr>
        <w:rPr>
          <w:rFonts w:ascii="Cambria" w:hAnsi="Cambria"/>
        </w:rPr>
      </w:pPr>
    </w:p>
    <w:p w14:paraId="138B4410" w14:textId="77777777" w:rsidR="001B1265" w:rsidRPr="001B1265" w:rsidRDefault="001B1265" w:rsidP="001B1265">
      <w:pPr>
        <w:rPr>
          <w:rFonts w:ascii="Cambria" w:hAnsi="Cambria"/>
        </w:rPr>
      </w:pPr>
    </w:p>
    <w:p w14:paraId="60BEC618" w14:textId="77777777" w:rsidR="001B1265" w:rsidRPr="001B1265" w:rsidRDefault="001B1265" w:rsidP="001B1265">
      <w:pPr>
        <w:rPr>
          <w:rFonts w:ascii="Cambria" w:hAnsi="Cambria"/>
        </w:rPr>
      </w:pPr>
      <w:r w:rsidRPr="001B1265">
        <w:rPr>
          <w:rFonts w:ascii="Cambria" w:hAnsi="Cambria"/>
        </w:rPr>
        <w:tab/>
      </w:r>
      <w:r w:rsidRPr="001B1265">
        <w:rPr>
          <w:rFonts w:ascii="Cambria" w:hAnsi="Cambria"/>
        </w:rPr>
        <w:tab/>
      </w:r>
      <w:r w:rsidRPr="001B1265">
        <w:rPr>
          <w:rFonts w:ascii="Cambria" w:hAnsi="Cambria"/>
        </w:rPr>
        <w:tab/>
      </w:r>
      <w:r w:rsidRPr="001B1265">
        <w:rPr>
          <w:rFonts w:ascii="Cambria" w:hAnsi="Cambria"/>
        </w:rPr>
        <w:tab/>
      </w:r>
      <w:r w:rsidRPr="001B1265">
        <w:rPr>
          <w:rFonts w:ascii="Cambria" w:hAnsi="Cambria"/>
        </w:rPr>
        <w:tab/>
      </w:r>
      <w:r w:rsidRPr="001B1265">
        <w:rPr>
          <w:rFonts w:ascii="Cambria" w:hAnsi="Cambria"/>
        </w:rPr>
        <w:tab/>
      </w:r>
      <w:r w:rsidRPr="001B1265">
        <w:rPr>
          <w:rFonts w:ascii="Cambria" w:hAnsi="Cambria"/>
        </w:rPr>
        <w:tab/>
      </w:r>
      <w:r w:rsidRPr="001B1265">
        <w:rPr>
          <w:rFonts w:ascii="Cambria" w:hAnsi="Cambria"/>
        </w:rPr>
        <w:tab/>
        <w:t>____________________________</w:t>
      </w:r>
    </w:p>
    <w:p w14:paraId="11C26DF9" w14:textId="77777777" w:rsidR="001B1265" w:rsidRPr="001B1265" w:rsidRDefault="001B1265" w:rsidP="001B1265">
      <w:pPr>
        <w:ind w:left="5664"/>
        <w:rPr>
          <w:rFonts w:ascii="Cambria" w:hAnsi="Cambria"/>
          <w:i/>
        </w:rPr>
      </w:pPr>
      <w:r w:rsidRPr="001B1265">
        <w:rPr>
          <w:rFonts w:ascii="Cambria" w:hAnsi="Cambria"/>
          <w:i/>
          <w:highlight w:val="yellow"/>
        </w:rPr>
        <w:t>Jméno, příjmení, pozice a podpis oprávněné osoby dodavatele</w:t>
      </w:r>
    </w:p>
    <w:p w14:paraId="76423B41" w14:textId="77777777" w:rsidR="001B1265" w:rsidRPr="001B1265" w:rsidRDefault="001B1265" w:rsidP="001B1265">
      <w:pPr>
        <w:spacing w:after="120"/>
        <w:jc w:val="both"/>
        <w:rPr>
          <w:rFonts w:ascii="Cambria" w:hAnsi="Cambria"/>
        </w:rPr>
      </w:pPr>
    </w:p>
    <w:sectPr w:rsidR="001B1265" w:rsidRPr="001B12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553238" w14:textId="77777777" w:rsidR="00D6590C" w:rsidRDefault="00D6590C" w:rsidP="00DD268E">
      <w:pPr>
        <w:spacing w:after="0" w:line="240" w:lineRule="auto"/>
      </w:pPr>
      <w:r>
        <w:separator/>
      </w:r>
    </w:p>
  </w:endnote>
  <w:endnote w:type="continuationSeparator" w:id="0">
    <w:p w14:paraId="02662968" w14:textId="77777777" w:rsidR="00D6590C" w:rsidRDefault="00D6590C" w:rsidP="00DD26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831895" w14:textId="77777777" w:rsidR="00D6590C" w:rsidRDefault="00D6590C" w:rsidP="00DD268E">
      <w:pPr>
        <w:spacing w:after="0" w:line="240" w:lineRule="auto"/>
      </w:pPr>
      <w:r>
        <w:separator/>
      </w:r>
    </w:p>
  </w:footnote>
  <w:footnote w:type="continuationSeparator" w:id="0">
    <w:p w14:paraId="3B72088E" w14:textId="77777777" w:rsidR="00D6590C" w:rsidRDefault="00D6590C" w:rsidP="00DD26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476C56"/>
    <w:multiLevelType w:val="hybridMultilevel"/>
    <w:tmpl w:val="A52C1C4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513B0A"/>
    <w:multiLevelType w:val="hybridMultilevel"/>
    <w:tmpl w:val="01CC262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1228253">
    <w:abstractNumId w:val="0"/>
  </w:num>
  <w:num w:numId="2" w16cid:durableId="18491001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268E"/>
    <w:rsid w:val="001668C6"/>
    <w:rsid w:val="001B1265"/>
    <w:rsid w:val="0022229B"/>
    <w:rsid w:val="00684CB3"/>
    <w:rsid w:val="007978B9"/>
    <w:rsid w:val="00B16A2E"/>
    <w:rsid w:val="00D6590C"/>
    <w:rsid w:val="00DD268E"/>
    <w:rsid w:val="00DE4256"/>
    <w:rsid w:val="00F22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8ED00"/>
  <w15:chartTrackingRefBased/>
  <w15:docId w15:val="{D22CA799-495C-4F98-8880-AFE5A9097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D268E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DD26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D268E"/>
  </w:style>
  <w:style w:type="paragraph" w:styleId="Zpat">
    <w:name w:val="footer"/>
    <w:basedOn w:val="Normln"/>
    <w:link w:val="ZpatChar"/>
    <w:uiPriority w:val="99"/>
    <w:unhideWhenUsed/>
    <w:rsid w:val="00DD26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D2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472</Words>
  <Characters>2789</Characters>
  <Application>Microsoft Office Word</Application>
  <DocSecurity>0</DocSecurity>
  <Lines>23</Lines>
  <Paragraphs>6</Paragraphs>
  <ScaleCrop>false</ScaleCrop>
  <Company/>
  <LinksUpToDate>false</LinksUpToDate>
  <CharactersWithSpaces>3255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Hrbáček</dc:creator>
  <cp:keywords/>
  <dc:description/>
  <cp:lastModifiedBy>Fous</cp:lastModifiedBy>
  <cp:revision>4</cp:revision>
  <dcterms:created xsi:type="dcterms:W3CDTF">2024-06-06T14:01:00Z</dcterms:created>
  <dcterms:modified xsi:type="dcterms:W3CDTF">2026-01-14T07:10:00Z</dcterms:modified>
</cp:coreProperties>
</file>