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C65" w:rsidRDefault="00F803AF">
      <w:pPr>
        <w:pBdr>
          <w:top w:val="nil"/>
          <w:left w:val="nil"/>
          <w:bottom w:val="single" w:sz="4" w:space="1" w:color="000000"/>
          <w:right w:val="nil"/>
          <w:between w:val="nil"/>
        </w:pBdr>
        <w:ind w:hanging="2"/>
        <w:jc w:val="right"/>
        <w:rPr>
          <w:color w:val="000000"/>
        </w:rPr>
      </w:pPr>
      <w:bookmarkStart w:id="0" w:name="_GoBack"/>
      <w:bookmarkEnd w:id="0"/>
      <w:r>
        <w:rPr>
          <w:b/>
          <w:bCs/>
          <w:color w:val="000000"/>
        </w:rPr>
        <w:t>Příloha č. 4 zadávací dokumentace – Návrh smlouvy</w:t>
      </w:r>
    </w:p>
    <w:p w:rsidR="00C95C65" w:rsidRDefault="00C95C65">
      <w:pPr>
        <w:pBdr>
          <w:top w:val="nil"/>
          <w:left w:val="nil"/>
          <w:bottom w:val="nil"/>
          <w:right w:val="nil"/>
          <w:between w:val="nil"/>
        </w:pBdr>
        <w:ind w:hanging="2"/>
        <w:jc w:val="center"/>
        <w:rPr>
          <w:color w:val="000000"/>
        </w:rPr>
      </w:pPr>
    </w:p>
    <w:p w:rsidR="00C95C65" w:rsidRDefault="00C95C65">
      <w:pPr>
        <w:pBdr>
          <w:top w:val="nil"/>
          <w:left w:val="nil"/>
          <w:bottom w:val="nil"/>
          <w:right w:val="nil"/>
          <w:between w:val="nil"/>
        </w:pBdr>
        <w:ind w:left="1" w:hanging="3"/>
        <w:jc w:val="center"/>
        <w:rPr>
          <w:color w:val="000000"/>
          <w:sz w:val="32"/>
          <w:szCs w:val="32"/>
        </w:rPr>
      </w:pPr>
    </w:p>
    <w:p w:rsidR="00C95C65" w:rsidRDefault="00F803AF">
      <w:pPr>
        <w:pBdr>
          <w:top w:val="nil"/>
          <w:left w:val="nil"/>
          <w:bottom w:val="nil"/>
          <w:right w:val="nil"/>
          <w:between w:val="nil"/>
        </w:pBdr>
        <w:ind w:left="1" w:hanging="3"/>
        <w:jc w:val="center"/>
        <w:rPr>
          <w:color w:val="000000"/>
          <w:sz w:val="36"/>
          <w:szCs w:val="36"/>
        </w:rPr>
      </w:pPr>
      <w:r>
        <w:rPr>
          <w:b/>
          <w:bCs/>
          <w:color w:val="000000"/>
          <w:sz w:val="28"/>
          <w:szCs w:val="28"/>
        </w:rPr>
        <w:t>SMLOUVA O SVOZU A NAKLÁDÁNÍ S BIOLOGICKY ROZLOŽITELNÝM</w:t>
      </w:r>
      <w:r>
        <w:rPr>
          <w:b/>
          <w:bCs/>
          <w:color w:val="000000"/>
          <w:sz w:val="28"/>
          <w:szCs w:val="28"/>
        </w:rPr>
        <w:br/>
        <w:t>ODPADEM Z DOMÁCNOSTÍ NA ÚZEMÍ MĚSTA TÁBORA</w:t>
      </w:r>
    </w:p>
    <w:p w:rsidR="00C95C65" w:rsidRDefault="00C95C65">
      <w:pPr>
        <w:pBdr>
          <w:top w:val="nil"/>
          <w:left w:val="nil"/>
          <w:bottom w:val="nil"/>
          <w:right w:val="nil"/>
          <w:between w:val="nil"/>
        </w:pBdr>
        <w:ind w:hanging="2"/>
        <w:jc w:val="center"/>
        <w:rPr>
          <w:color w:val="000000"/>
        </w:rPr>
      </w:pPr>
    </w:p>
    <w:p w:rsidR="00C95C65" w:rsidRDefault="00F803AF">
      <w:pPr>
        <w:pBdr>
          <w:top w:val="nil"/>
          <w:left w:val="nil"/>
          <w:bottom w:val="nil"/>
          <w:right w:val="nil"/>
          <w:between w:val="nil"/>
        </w:pBdr>
        <w:ind w:hanging="2"/>
        <w:rPr>
          <w:color w:val="000000"/>
        </w:rPr>
      </w:pPr>
      <w:r>
        <w:rPr>
          <w:color w:val="000000"/>
        </w:rPr>
        <w:t>uzavřená níže uvedeného dne, měsíce a roku v souladu s příslušnými ustanoveními platné právní úpravy, zejména zákona č. 134/2016 Sb., zákona o zadávání veřejných zakázek, ve znění pozdějších předpisů (dále jen „</w:t>
      </w:r>
      <w:r>
        <w:rPr>
          <w:b/>
          <w:bCs/>
          <w:color w:val="000000"/>
        </w:rPr>
        <w:t>ZZVZ</w:t>
      </w:r>
      <w:r>
        <w:rPr>
          <w:color w:val="000000"/>
        </w:rPr>
        <w:t>“), zákona č. 541/2020 Sb., o odpadech (d</w:t>
      </w:r>
      <w:r>
        <w:rPr>
          <w:color w:val="000000"/>
        </w:rPr>
        <w:t>ále jen „</w:t>
      </w:r>
      <w:r>
        <w:rPr>
          <w:b/>
          <w:bCs/>
          <w:color w:val="000000"/>
        </w:rPr>
        <w:t>Zákon o odpadech</w:t>
      </w:r>
      <w:r>
        <w:rPr>
          <w:color w:val="000000"/>
        </w:rPr>
        <w:t xml:space="preserve">“), prováděcích vyhlášek k zákonu o odpadech (dále jen </w:t>
      </w:r>
      <w:r>
        <w:rPr>
          <w:b/>
          <w:bCs/>
          <w:color w:val="000000"/>
        </w:rPr>
        <w:t>„prováděcí vyhlášky“</w:t>
      </w:r>
      <w:r>
        <w:rPr>
          <w:color w:val="000000"/>
        </w:rPr>
        <w:t>) a zákona č. 89/2012 Sb., občanský zákoník, v platném znění (dále jen „</w:t>
      </w:r>
      <w:r>
        <w:rPr>
          <w:b/>
          <w:bCs/>
          <w:color w:val="000000"/>
        </w:rPr>
        <w:t>OZ</w:t>
      </w:r>
      <w:r>
        <w:rPr>
          <w:color w:val="000000"/>
        </w:rPr>
        <w:t>“) mezi následujícími smluvními stranami (dále jen „</w:t>
      </w:r>
      <w:r>
        <w:rPr>
          <w:b/>
          <w:bCs/>
          <w:color w:val="000000"/>
        </w:rPr>
        <w:t>smlouva</w:t>
      </w:r>
      <w:r>
        <w:rPr>
          <w:color w:val="000000"/>
        </w:rPr>
        <w:t>“):</w:t>
      </w:r>
    </w:p>
    <w:p w:rsidR="00C95C65" w:rsidRDefault="00C95C65">
      <w:pPr>
        <w:pBdr>
          <w:top w:val="nil"/>
          <w:left w:val="nil"/>
          <w:bottom w:val="nil"/>
          <w:right w:val="nil"/>
          <w:between w:val="nil"/>
        </w:pBdr>
        <w:ind w:hanging="2"/>
        <w:rPr>
          <w:color w:val="000000"/>
        </w:rPr>
      </w:pPr>
    </w:p>
    <w:p w:rsidR="00C95C65" w:rsidRDefault="00C95C65">
      <w:pPr>
        <w:pBdr>
          <w:top w:val="nil"/>
          <w:left w:val="nil"/>
          <w:bottom w:val="nil"/>
          <w:right w:val="nil"/>
          <w:between w:val="nil"/>
        </w:pBdr>
        <w:ind w:hanging="2"/>
        <w:rPr>
          <w:color w:val="000000"/>
          <w:highlight w:val="yellow"/>
        </w:rPr>
      </w:pPr>
    </w:p>
    <w:p w:rsidR="00C95C65" w:rsidRDefault="00F803AF">
      <w:pPr>
        <w:pBdr>
          <w:top w:val="nil"/>
          <w:left w:val="nil"/>
          <w:bottom w:val="nil"/>
          <w:right w:val="nil"/>
          <w:between w:val="nil"/>
        </w:pBdr>
        <w:ind w:hanging="2"/>
        <w:rPr>
          <w:b/>
          <w:bCs/>
          <w:color w:val="000000"/>
        </w:rPr>
      </w:pPr>
      <w:r>
        <w:rPr>
          <w:b/>
          <w:bCs/>
          <w:color w:val="000000"/>
        </w:rPr>
        <w:t>Město Tábor</w:t>
      </w:r>
    </w:p>
    <w:p w:rsidR="00C95C65" w:rsidRDefault="00F803AF">
      <w:pPr>
        <w:pBdr>
          <w:top w:val="nil"/>
          <w:left w:val="nil"/>
          <w:bottom w:val="nil"/>
          <w:right w:val="nil"/>
          <w:between w:val="nil"/>
        </w:pBdr>
        <w:ind w:hanging="2"/>
        <w:rPr>
          <w:color w:val="000000"/>
        </w:rPr>
      </w:pPr>
      <w:r>
        <w:rPr>
          <w:color w:val="000000"/>
        </w:rPr>
        <w:t>Sídle</w:t>
      </w:r>
      <w:r>
        <w:rPr>
          <w:color w:val="000000"/>
        </w:rPr>
        <w:t>m: Žižkovo náměstí 2/2, 390 01 Tábor 1</w:t>
      </w:r>
    </w:p>
    <w:p w:rsidR="00C95C65" w:rsidRDefault="00F803AF">
      <w:pPr>
        <w:pBdr>
          <w:top w:val="nil"/>
          <w:left w:val="nil"/>
          <w:bottom w:val="nil"/>
          <w:right w:val="nil"/>
          <w:between w:val="nil"/>
        </w:pBdr>
        <w:ind w:hanging="2"/>
        <w:rPr>
          <w:color w:val="000000"/>
        </w:rPr>
      </w:pPr>
      <w:r>
        <w:rPr>
          <w:color w:val="000000"/>
        </w:rPr>
        <w:t>IČ: 00253014</w:t>
      </w:r>
    </w:p>
    <w:p w:rsidR="00C95C65" w:rsidRDefault="00F803AF">
      <w:pPr>
        <w:pBdr>
          <w:top w:val="nil"/>
          <w:left w:val="nil"/>
          <w:bottom w:val="nil"/>
          <w:right w:val="nil"/>
          <w:between w:val="nil"/>
        </w:pBdr>
        <w:ind w:hanging="2"/>
        <w:rPr>
          <w:color w:val="000000"/>
        </w:rPr>
      </w:pPr>
      <w:r>
        <w:rPr>
          <w:color w:val="000000"/>
        </w:rPr>
        <w:t>oprávněný zástupce: Bc. Radoslav Kacerovský, DiS., místostarosta města</w:t>
      </w:r>
    </w:p>
    <w:p w:rsidR="00C95C65" w:rsidRDefault="00F803AF">
      <w:pPr>
        <w:pBdr>
          <w:top w:val="nil"/>
          <w:left w:val="nil"/>
          <w:bottom w:val="nil"/>
          <w:right w:val="nil"/>
          <w:between w:val="nil"/>
        </w:pBdr>
        <w:ind w:hanging="2"/>
        <w:rPr>
          <w:color w:val="000000"/>
        </w:rPr>
      </w:pPr>
      <w:r>
        <w:rPr>
          <w:color w:val="000000"/>
        </w:rPr>
        <w:t xml:space="preserve">(dále jen </w:t>
      </w:r>
      <w:r>
        <w:rPr>
          <w:b/>
          <w:bCs/>
          <w:color w:val="000000"/>
        </w:rPr>
        <w:t>„objednatel“</w:t>
      </w:r>
      <w:r>
        <w:rPr>
          <w:color w:val="000000"/>
        </w:rPr>
        <w:t>) na straně jedné</w:t>
      </w:r>
    </w:p>
    <w:p w:rsidR="00C95C65" w:rsidRDefault="00C95C65">
      <w:pPr>
        <w:pBdr>
          <w:top w:val="nil"/>
          <w:left w:val="nil"/>
          <w:bottom w:val="nil"/>
          <w:right w:val="nil"/>
          <w:between w:val="nil"/>
        </w:pBdr>
        <w:tabs>
          <w:tab w:val="left" w:pos="3240"/>
        </w:tabs>
        <w:ind w:hanging="2"/>
        <w:rPr>
          <w:color w:val="000000"/>
        </w:rPr>
      </w:pPr>
    </w:p>
    <w:p w:rsidR="00C95C65" w:rsidRDefault="00F803AF">
      <w:pPr>
        <w:pBdr>
          <w:top w:val="nil"/>
          <w:left w:val="nil"/>
          <w:bottom w:val="nil"/>
          <w:right w:val="nil"/>
          <w:between w:val="nil"/>
        </w:pBdr>
        <w:tabs>
          <w:tab w:val="left" w:pos="3240"/>
        </w:tabs>
        <w:ind w:hanging="2"/>
        <w:rPr>
          <w:color w:val="000000"/>
        </w:rPr>
      </w:pPr>
      <w:r>
        <w:rPr>
          <w:color w:val="000000"/>
        </w:rPr>
        <w:t xml:space="preserve">a </w:t>
      </w:r>
    </w:p>
    <w:p w:rsidR="00C95C65" w:rsidRDefault="00C95C65">
      <w:pPr>
        <w:pBdr>
          <w:top w:val="nil"/>
          <w:left w:val="nil"/>
          <w:bottom w:val="nil"/>
          <w:right w:val="nil"/>
          <w:between w:val="nil"/>
        </w:pBdr>
        <w:ind w:hanging="2"/>
        <w:rPr>
          <w:color w:val="000000"/>
        </w:rPr>
      </w:pPr>
    </w:p>
    <w:p w:rsidR="00C95C65" w:rsidRDefault="00F803AF">
      <w:pPr>
        <w:pBdr>
          <w:top w:val="nil"/>
          <w:left w:val="nil"/>
          <w:bottom w:val="nil"/>
          <w:right w:val="nil"/>
          <w:between w:val="nil"/>
        </w:pBdr>
        <w:ind w:hanging="2"/>
        <w:rPr>
          <w:color w:val="000000"/>
        </w:rPr>
      </w:pPr>
      <w:r>
        <w:rPr>
          <w:b/>
          <w:bCs/>
          <w:color w:val="000000"/>
        </w:rPr>
        <w:t xml:space="preserve">Název: </w:t>
      </w:r>
      <w:r>
        <w:rPr>
          <w:color w:val="000000"/>
          <w:highlight w:val="red"/>
        </w:rPr>
        <w:t>……………………..</w:t>
      </w:r>
    </w:p>
    <w:p w:rsidR="00C95C65" w:rsidRDefault="00F803AF">
      <w:pPr>
        <w:pBdr>
          <w:top w:val="nil"/>
          <w:left w:val="nil"/>
          <w:bottom w:val="nil"/>
          <w:right w:val="nil"/>
          <w:between w:val="nil"/>
        </w:pBdr>
        <w:ind w:hanging="2"/>
        <w:rPr>
          <w:color w:val="000000"/>
        </w:rPr>
      </w:pPr>
      <w:r>
        <w:rPr>
          <w:color w:val="000000"/>
        </w:rPr>
        <w:t xml:space="preserve">Sídlo: </w:t>
      </w:r>
      <w:r>
        <w:rPr>
          <w:color w:val="000000"/>
          <w:highlight w:val="red"/>
        </w:rPr>
        <w:t>……………………..</w:t>
      </w:r>
      <w:r>
        <w:rPr>
          <w:color w:val="000000"/>
        </w:rPr>
        <w:t xml:space="preserve"> </w:t>
      </w:r>
    </w:p>
    <w:p w:rsidR="00C95C65" w:rsidRDefault="00F803AF">
      <w:pPr>
        <w:pBdr>
          <w:top w:val="nil"/>
          <w:left w:val="nil"/>
          <w:bottom w:val="nil"/>
          <w:right w:val="nil"/>
          <w:between w:val="nil"/>
        </w:pBdr>
        <w:ind w:hanging="2"/>
        <w:rPr>
          <w:color w:val="000000"/>
        </w:rPr>
      </w:pPr>
      <w:r>
        <w:rPr>
          <w:color w:val="000000"/>
        </w:rPr>
        <w:t xml:space="preserve">Jméno osoby oprávněné jednat </w:t>
      </w:r>
      <w:r>
        <w:rPr>
          <w:i/>
          <w:iCs/>
          <w:color w:val="000000"/>
        </w:rPr>
        <w:t>[dle výpisu z obchodní</w:t>
      </w:r>
      <w:r>
        <w:rPr>
          <w:i/>
          <w:iCs/>
          <w:color w:val="000000"/>
        </w:rPr>
        <w:t>ho rejstříku nebo z plné moci, kterou musí udělit osoba oprávněná jednat]:</w:t>
      </w:r>
      <w:r>
        <w:rPr>
          <w:color w:val="000000"/>
        </w:rPr>
        <w:t xml:space="preserve"> </w:t>
      </w:r>
      <w:r>
        <w:rPr>
          <w:color w:val="000000"/>
          <w:highlight w:val="red"/>
        </w:rPr>
        <w:t>……………………..</w:t>
      </w:r>
    </w:p>
    <w:p w:rsidR="00C95C65" w:rsidRDefault="00F803AF">
      <w:pPr>
        <w:pBdr>
          <w:top w:val="nil"/>
          <w:left w:val="nil"/>
          <w:bottom w:val="nil"/>
          <w:right w:val="nil"/>
          <w:between w:val="nil"/>
        </w:pBdr>
        <w:ind w:hanging="2"/>
        <w:rPr>
          <w:color w:val="000000"/>
        </w:rPr>
      </w:pPr>
      <w:r>
        <w:rPr>
          <w:color w:val="000000"/>
        </w:rPr>
        <w:t xml:space="preserve">IČ: </w:t>
      </w:r>
      <w:r>
        <w:rPr>
          <w:color w:val="000000"/>
          <w:highlight w:val="red"/>
        </w:rPr>
        <w:t>……………………..</w:t>
      </w:r>
    </w:p>
    <w:p w:rsidR="00C95C65" w:rsidRDefault="00F803AF">
      <w:pPr>
        <w:pBdr>
          <w:top w:val="nil"/>
          <w:left w:val="nil"/>
          <w:bottom w:val="nil"/>
          <w:right w:val="nil"/>
          <w:between w:val="nil"/>
        </w:pBdr>
        <w:ind w:hanging="2"/>
        <w:rPr>
          <w:color w:val="000000"/>
        </w:rPr>
      </w:pPr>
      <w:r>
        <w:rPr>
          <w:color w:val="000000"/>
        </w:rPr>
        <w:t xml:space="preserve">DIČ: </w:t>
      </w:r>
      <w:r>
        <w:rPr>
          <w:color w:val="000000"/>
          <w:highlight w:val="red"/>
        </w:rPr>
        <w:t>……………………..</w:t>
      </w:r>
    </w:p>
    <w:p w:rsidR="00C95C65" w:rsidRDefault="00F803AF">
      <w:pPr>
        <w:pBdr>
          <w:top w:val="nil"/>
          <w:left w:val="nil"/>
          <w:bottom w:val="nil"/>
          <w:right w:val="nil"/>
          <w:between w:val="nil"/>
        </w:pBdr>
        <w:ind w:hanging="2"/>
        <w:rPr>
          <w:color w:val="000000"/>
        </w:rPr>
      </w:pPr>
      <w:r>
        <w:rPr>
          <w:color w:val="000000"/>
        </w:rPr>
        <w:t xml:space="preserve">Bankovní spojení: </w:t>
      </w:r>
      <w:r>
        <w:rPr>
          <w:color w:val="000000"/>
          <w:highlight w:val="red"/>
        </w:rPr>
        <w:t>……………………..</w:t>
      </w:r>
    </w:p>
    <w:p w:rsidR="00C95C65" w:rsidRDefault="00F803AF">
      <w:pPr>
        <w:pBdr>
          <w:top w:val="nil"/>
          <w:left w:val="nil"/>
          <w:bottom w:val="nil"/>
          <w:right w:val="nil"/>
          <w:between w:val="nil"/>
        </w:pBdr>
        <w:ind w:hanging="2"/>
        <w:rPr>
          <w:color w:val="000000"/>
        </w:rPr>
      </w:pPr>
      <w:r>
        <w:rPr>
          <w:color w:val="000000"/>
        </w:rPr>
        <w:t xml:space="preserve">Č.účtu: </w:t>
      </w:r>
      <w:r>
        <w:rPr>
          <w:color w:val="000000"/>
          <w:highlight w:val="red"/>
        </w:rPr>
        <w:t>……………………..</w:t>
      </w:r>
    </w:p>
    <w:p w:rsidR="00C95C65" w:rsidRDefault="00F803AF">
      <w:pPr>
        <w:pBdr>
          <w:top w:val="nil"/>
          <w:left w:val="nil"/>
          <w:bottom w:val="nil"/>
          <w:right w:val="nil"/>
          <w:between w:val="nil"/>
        </w:pBdr>
        <w:ind w:hanging="2"/>
        <w:rPr>
          <w:color w:val="000000"/>
        </w:rPr>
      </w:pPr>
      <w:r>
        <w:rPr>
          <w:color w:val="000000"/>
        </w:rPr>
        <w:t>……………………..</w:t>
      </w:r>
      <w:r>
        <w:rPr>
          <w:i/>
          <w:iCs/>
          <w:color w:val="000000"/>
        </w:rPr>
        <w:t xml:space="preserve"> (údaje o zápisu v obchodním rejstříku nebo jiné obdobné evidenci, je-li v ní dodavatel zapsán) </w:t>
      </w:r>
    </w:p>
    <w:p w:rsidR="00C95C65" w:rsidRDefault="00F803AF">
      <w:pPr>
        <w:pBdr>
          <w:top w:val="nil"/>
          <w:left w:val="nil"/>
          <w:bottom w:val="nil"/>
          <w:right w:val="nil"/>
          <w:between w:val="nil"/>
        </w:pBdr>
        <w:ind w:hanging="2"/>
        <w:rPr>
          <w:color w:val="000000"/>
        </w:rPr>
      </w:pPr>
      <w:r>
        <w:rPr>
          <w:color w:val="000000"/>
        </w:rPr>
        <w:t xml:space="preserve">Zástupce ve věcech smluvních: </w:t>
      </w:r>
      <w:r>
        <w:rPr>
          <w:color w:val="000000"/>
          <w:highlight w:val="red"/>
        </w:rPr>
        <w:t>……………………..</w:t>
      </w:r>
      <w:r>
        <w:rPr>
          <w:color w:val="000000"/>
        </w:rPr>
        <w:t xml:space="preserve"> tel.: </w:t>
      </w:r>
      <w:r>
        <w:rPr>
          <w:color w:val="000000"/>
          <w:highlight w:val="red"/>
        </w:rPr>
        <w:t>…………………………..,</w:t>
      </w:r>
      <w:r>
        <w:rPr>
          <w:color w:val="000000"/>
        </w:rPr>
        <w:t xml:space="preserve"> e-mail: </w:t>
      </w:r>
      <w:r>
        <w:rPr>
          <w:color w:val="000000"/>
          <w:highlight w:val="red"/>
        </w:rPr>
        <w:t>…………………………..</w:t>
      </w:r>
    </w:p>
    <w:p w:rsidR="00C95C65" w:rsidRDefault="00F803AF">
      <w:pPr>
        <w:pBdr>
          <w:top w:val="nil"/>
          <w:left w:val="nil"/>
          <w:bottom w:val="nil"/>
          <w:right w:val="nil"/>
          <w:between w:val="nil"/>
        </w:pBdr>
        <w:ind w:hanging="2"/>
        <w:rPr>
          <w:color w:val="000000"/>
        </w:rPr>
      </w:pPr>
      <w:r>
        <w:rPr>
          <w:color w:val="000000"/>
        </w:rPr>
        <w:t xml:space="preserve">Zástupce ve věcech technických: </w:t>
      </w:r>
      <w:r>
        <w:rPr>
          <w:color w:val="000000"/>
          <w:highlight w:val="red"/>
        </w:rPr>
        <w:t>……………………..,</w:t>
      </w:r>
      <w:r>
        <w:rPr>
          <w:color w:val="000000"/>
        </w:rPr>
        <w:t xml:space="preserve"> tel.: </w:t>
      </w:r>
      <w:r>
        <w:rPr>
          <w:color w:val="000000"/>
          <w:highlight w:val="red"/>
        </w:rPr>
        <w:t>…………………………..,</w:t>
      </w:r>
      <w:r>
        <w:rPr>
          <w:color w:val="000000"/>
        </w:rPr>
        <w:t xml:space="preserve"> e-mail: </w:t>
      </w:r>
      <w:r>
        <w:rPr>
          <w:color w:val="000000"/>
          <w:highlight w:val="red"/>
        </w:rPr>
        <w:t>…………………………..</w:t>
      </w:r>
    </w:p>
    <w:p w:rsidR="00C95C65" w:rsidRDefault="00F803AF">
      <w:pPr>
        <w:pBdr>
          <w:top w:val="nil"/>
          <w:left w:val="nil"/>
          <w:bottom w:val="nil"/>
          <w:right w:val="nil"/>
          <w:between w:val="nil"/>
        </w:pBdr>
        <w:tabs>
          <w:tab w:val="left" w:pos="0"/>
          <w:tab w:val="left" w:pos="2250"/>
        </w:tabs>
        <w:ind w:hanging="2"/>
        <w:rPr>
          <w:color w:val="000000"/>
        </w:rPr>
      </w:pPr>
      <w:r>
        <w:rPr>
          <w:color w:val="000000"/>
        </w:rPr>
        <w:t xml:space="preserve">(dále jen </w:t>
      </w:r>
      <w:r>
        <w:rPr>
          <w:b/>
          <w:bCs/>
          <w:color w:val="000000"/>
        </w:rPr>
        <w:t>„dodavatel“</w:t>
      </w:r>
      <w:r>
        <w:rPr>
          <w:color w:val="000000"/>
        </w:rPr>
        <w:t>) na straně druhé</w:t>
      </w:r>
    </w:p>
    <w:p w:rsidR="00C95C65" w:rsidRDefault="00C95C65">
      <w:pPr>
        <w:pBdr>
          <w:top w:val="nil"/>
          <w:left w:val="nil"/>
          <w:bottom w:val="nil"/>
          <w:right w:val="nil"/>
          <w:between w:val="nil"/>
        </w:pBdr>
        <w:tabs>
          <w:tab w:val="left" w:pos="0"/>
          <w:tab w:val="left" w:pos="2250"/>
        </w:tabs>
        <w:ind w:hanging="2"/>
        <w:rPr>
          <w:color w:val="000000"/>
        </w:rPr>
      </w:pPr>
    </w:p>
    <w:p w:rsidR="00C95C65" w:rsidRDefault="00F803AF">
      <w:pPr>
        <w:pBdr>
          <w:top w:val="nil"/>
          <w:left w:val="nil"/>
          <w:bottom w:val="nil"/>
          <w:right w:val="nil"/>
          <w:between w:val="nil"/>
        </w:pBdr>
        <w:tabs>
          <w:tab w:val="left" w:pos="0"/>
          <w:tab w:val="left" w:pos="2250"/>
        </w:tabs>
        <w:ind w:hanging="2"/>
        <w:rPr>
          <w:color w:val="000000"/>
        </w:rPr>
      </w:pPr>
      <w:r>
        <w:rPr>
          <w:color w:val="000000"/>
        </w:rPr>
        <w:t>(společně též jako „</w:t>
      </w:r>
      <w:r>
        <w:rPr>
          <w:b/>
          <w:bCs/>
          <w:color w:val="000000"/>
        </w:rPr>
        <w:t>smluvní strany</w:t>
      </w:r>
      <w:r>
        <w:rPr>
          <w:color w:val="000000"/>
        </w:rPr>
        <w:t>“ nebo samostatně jako „</w:t>
      </w:r>
      <w:r>
        <w:rPr>
          <w:b/>
          <w:bCs/>
          <w:color w:val="000000"/>
        </w:rPr>
        <w:t>smluvní strana</w:t>
      </w:r>
      <w:r>
        <w:rPr>
          <w:color w:val="000000"/>
        </w:rPr>
        <w:t>“)</w:t>
      </w:r>
    </w:p>
    <w:p w:rsidR="00C95C65" w:rsidRDefault="00C95C65">
      <w:pPr>
        <w:pBdr>
          <w:top w:val="nil"/>
          <w:left w:val="nil"/>
          <w:bottom w:val="nil"/>
          <w:right w:val="nil"/>
          <w:between w:val="nil"/>
        </w:pBdr>
        <w:tabs>
          <w:tab w:val="left" w:pos="0"/>
          <w:tab w:val="left" w:pos="2250"/>
        </w:tabs>
        <w:ind w:hanging="2"/>
        <w:rPr>
          <w:color w:val="000000"/>
        </w:rPr>
      </w:pP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Základní ustanovení</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Tato smlouva upravuje vzájemná práva a povinnosti smluvních stran související s realizací předmětu veřejné zakázky s názvem „Svoz a nakládání s biologicky rozložitelným odpadem z domácností na území města Tábora‘‘ zadávané objednatelem v dále specifikované</w:t>
      </w:r>
      <w:r>
        <w:rPr>
          <w:color w:val="262626"/>
        </w:rPr>
        <w:t>m otevřeném zadávacím řízení.</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Oznámení o zahájení zadávacího řízení na uvedenou veřejnou zakázku pod názvem „Svoz a nakládání s biologicky rozložitelným odpadem z domácností na území města Tábora“, bylo ke zveřejnění ve Věstníku veřejných zakázek (VVZ) ode</w:t>
      </w:r>
      <w:r>
        <w:rPr>
          <w:color w:val="262626"/>
        </w:rPr>
        <w:t>sláno dne </w:t>
      </w:r>
      <w:r>
        <w:rPr>
          <w:color w:val="262626"/>
          <w:highlight w:val="magenta"/>
        </w:rPr>
        <w:t>xx. xx. 202</w:t>
      </w:r>
      <w:r>
        <w:rPr>
          <w:color w:val="262626"/>
        </w:rPr>
        <w:t xml:space="preserve">6, přičemž ke zveřejnění došlo dne </w:t>
      </w:r>
      <w:r>
        <w:rPr>
          <w:color w:val="262626"/>
          <w:highlight w:val="magenta"/>
        </w:rPr>
        <w:t>xx. xx. 202</w:t>
      </w:r>
      <w:r>
        <w:rPr>
          <w:color w:val="262626"/>
        </w:rPr>
        <w:t xml:space="preserve">6, a to pod evidenčním číslem zakázky </w:t>
      </w:r>
      <w:r>
        <w:rPr>
          <w:color w:val="262626"/>
          <w:highlight w:val="magenta"/>
        </w:rPr>
        <w:t>Z2026-xxxxxx</w:t>
      </w:r>
      <w:r>
        <w:rPr>
          <w:color w:val="262626"/>
        </w:rPr>
        <w:t xml:space="preserve"> a evidenčním číslem formuláře </w:t>
      </w:r>
      <w:r>
        <w:rPr>
          <w:color w:val="262626"/>
          <w:highlight w:val="magenta"/>
        </w:rPr>
        <w:t>F2026-xxxxxx</w:t>
      </w:r>
      <w:r>
        <w:rPr>
          <w:color w:val="262626"/>
        </w:rPr>
        <w:t xml:space="preserve"> (dále jen „Zadávací řízení“ a „Veřejná zakázka“).</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Dodavatel v rámci specifikovaného zadávacího </w:t>
      </w:r>
      <w:r>
        <w:rPr>
          <w:color w:val="262626"/>
        </w:rPr>
        <w:t>řízení podal nabídku, která byla v souladu se zadávacími podmínkami Zadávacího řízení vyhodnocena jako nejvhodnější, a která je tak podkladem pro uzavření této smlouvy;</w:t>
      </w:r>
      <w:r>
        <w:rPr>
          <w:b/>
          <w:bCs/>
          <w:color w:val="262626"/>
        </w:rPr>
        <w:t xml:space="preserve"> smluvní strany se dohodly, že je dodavatel kromě podmínek této smlouvy vázán také svou </w:t>
      </w:r>
      <w:r>
        <w:rPr>
          <w:b/>
          <w:bCs/>
          <w:color w:val="262626"/>
        </w:rPr>
        <w:t xml:space="preserve">nabídkou podanou ve výše specifikovaném zadávacím řízení, a to v jejím plném rozsahu </w:t>
      </w:r>
      <w:r>
        <w:rPr>
          <w:color w:val="262626"/>
        </w:rPr>
        <w:t>(dále jen „Nabídka“).</w:t>
      </w:r>
    </w:p>
    <w:p w:rsidR="00C95C65" w:rsidRDefault="00F803AF">
      <w:pPr>
        <w:ind w:firstLine="0"/>
        <w:rPr>
          <w:color w:val="262626"/>
        </w:rPr>
      </w:pPr>
      <w:r>
        <w:br w:type="page"/>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lastRenderedPageBreak/>
        <w:t>Dodavatel čestně prohlašuje, že</w:t>
      </w:r>
    </w:p>
    <w:p w:rsidR="00C95C65" w:rsidRDefault="00F803AF">
      <w:pPr>
        <w:numPr>
          <w:ilvl w:val="0"/>
          <w:numId w:val="5"/>
        </w:numPr>
        <w:pBdr>
          <w:top w:val="nil"/>
          <w:left w:val="nil"/>
          <w:bottom w:val="nil"/>
          <w:right w:val="nil"/>
          <w:between w:val="nil"/>
        </w:pBdr>
        <w:spacing w:after="160"/>
        <w:ind w:left="0" w:hanging="2"/>
        <w:rPr>
          <w:color w:val="262626"/>
        </w:rPr>
      </w:pPr>
      <w:r>
        <w:rPr>
          <w:color w:val="262626"/>
        </w:rPr>
        <w:t xml:space="preserve">je právnickou osobou řádně založenou a fungující v souladu s platnými právními předpisy České republiky, </w:t>
      </w:r>
    </w:p>
    <w:p w:rsidR="00C95C65" w:rsidRDefault="00F803AF">
      <w:pPr>
        <w:numPr>
          <w:ilvl w:val="0"/>
          <w:numId w:val="5"/>
        </w:numPr>
        <w:pBdr>
          <w:top w:val="nil"/>
          <w:left w:val="nil"/>
          <w:bottom w:val="nil"/>
          <w:right w:val="nil"/>
          <w:between w:val="nil"/>
        </w:pBdr>
        <w:spacing w:after="160"/>
        <w:ind w:left="0" w:hanging="2"/>
        <w:rPr>
          <w:color w:val="262626"/>
        </w:rPr>
      </w:pPr>
      <w:r>
        <w:rPr>
          <w:color w:val="262626"/>
        </w:rPr>
        <w:t>je osobou</w:t>
      </w:r>
      <w:r>
        <w:rPr>
          <w:color w:val="262626"/>
        </w:rPr>
        <w:t xml:space="preserve"> plně oprávněnou podnikat v oblasti odpadového hospodářství minimálně v rozsahu předmětu této smlouvy, a to v souladu s platnou právní úpravou, zejména v souladu se Zákonem o odpadech a jeho prováděcími právními předpisy, a že disponuje veškerými potřebným</w:t>
      </w:r>
      <w:r>
        <w:rPr>
          <w:color w:val="262626"/>
        </w:rPr>
        <w:t>i zákonnými oprávněními ke všem činnostem dle této smlouvy,</w:t>
      </w:r>
    </w:p>
    <w:p w:rsidR="00C95C65" w:rsidRDefault="00F803AF">
      <w:pPr>
        <w:numPr>
          <w:ilvl w:val="0"/>
          <w:numId w:val="5"/>
        </w:numPr>
        <w:pBdr>
          <w:top w:val="nil"/>
          <w:left w:val="nil"/>
          <w:bottom w:val="nil"/>
          <w:right w:val="nil"/>
          <w:between w:val="nil"/>
        </w:pBdr>
        <w:spacing w:after="160"/>
        <w:ind w:left="0" w:hanging="2"/>
        <w:rPr>
          <w:color w:val="262626"/>
        </w:rPr>
      </w:pPr>
      <w:r>
        <w:rPr>
          <w:color w:val="262626"/>
        </w:rPr>
        <w:t xml:space="preserve">má odbornou i technickou způsobilost pro splnění předmětu této smlouvy a pro podnikání v oblasti odpadového hospodářství, </w:t>
      </w:r>
    </w:p>
    <w:p w:rsidR="00C95C65" w:rsidRDefault="00F803AF">
      <w:pPr>
        <w:numPr>
          <w:ilvl w:val="0"/>
          <w:numId w:val="5"/>
        </w:numPr>
        <w:pBdr>
          <w:top w:val="nil"/>
          <w:left w:val="nil"/>
          <w:bottom w:val="nil"/>
          <w:right w:val="nil"/>
          <w:between w:val="nil"/>
        </w:pBdr>
        <w:spacing w:after="160"/>
        <w:ind w:left="0" w:hanging="2"/>
        <w:rPr>
          <w:color w:val="262626"/>
        </w:rPr>
      </w:pPr>
      <w:r>
        <w:rPr>
          <w:color w:val="262626"/>
        </w:rPr>
        <w:t xml:space="preserve">splňuje nebo se zavazuje splnit veškeré podmínky a požadavky stanovené v </w:t>
      </w:r>
      <w:r>
        <w:rPr>
          <w:color w:val="262626"/>
        </w:rPr>
        <w:t>této smlouvě a v zadávací dokumentaci k Zadávacímu řízení (dále jen „Zadávací dokumentace“), a to nejpozději v termínech předpokládaných touto smlouvou, není-li v jiném ustanovení této smlouvy dohodnuto jinak</w:t>
      </w:r>
    </w:p>
    <w:p w:rsidR="00C95C65" w:rsidRDefault="00F803AF">
      <w:pPr>
        <w:numPr>
          <w:ilvl w:val="0"/>
          <w:numId w:val="5"/>
        </w:numPr>
        <w:pBdr>
          <w:top w:val="nil"/>
          <w:left w:val="nil"/>
          <w:bottom w:val="nil"/>
          <w:right w:val="nil"/>
          <w:between w:val="nil"/>
        </w:pBdr>
        <w:spacing w:after="160"/>
        <w:ind w:left="0" w:hanging="2"/>
        <w:rPr>
          <w:color w:val="262626"/>
        </w:rPr>
      </w:pPr>
      <w:r>
        <w:rPr>
          <w:color w:val="262626"/>
        </w:rPr>
        <w:t xml:space="preserve">mu v podpisu této smlouvy nebrání žádné právní </w:t>
      </w:r>
      <w:r>
        <w:rPr>
          <w:color w:val="262626"/>
        </w:rPr>
        <w:t xml:space="preserve">ani faktické okolnosti a je oprávněn a schopen tuto smlouvu uzavřít a řádně plnit veškeré závazky v ní obsažené.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se zavazuje zajistit, že po celou dobu trvání právního vztahu založeného touto smlouvou budou veškerá prohlášení učiněná dodavatelem</w:t>
      </w:r>
      <w:r>
        <w:rPr>
          <w:color w:val="262626"/>
        </w:rPr>
        <w:t xml:space="preserve"> v předchozím odstavci (1.4) tohoto článku platná a pravdivá. Pokud dodavatel poruší svou povinnost zajistit platnost a pravdivost každého z dílčích prohlášení dle předchozího odstavce tohoto článku, objednatel má právo po něm požadovat smluvní pokutu dle </w:t>
      </w:r>
      <w:r>
        <w:rPr>
          <w:color w:val="262626"/>
        </w:rPr>
        <w:t>článku 9.1. této smlouvy, a to za každé jednotlivé porušení a den jeho trvání.</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Předmět Smlouvy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Předmětem této smlouvy je zajištění služeb spočívajících ve sběru, svozu, nakládání a předání k dalšímu využití nebo odstranění biologicky rozložitelného komunálního odpadu (dále jen „BRO“) vznikajícího na území objednatele, a to ze sběrných nádob určených</w:t>
      </w:r>
      <w:r>
        <w:rPr>
          <w:color w:val="262626"/>
        </w:rPr>
        <w:t xml:space="preserve"> ke sběru BRO, které jsou evidovány v pasportu sběrných nádob. </w:t>
      </w:r>
      <w:r>
        <w:t>BRO pocházející ze sběrných nádob může obsahovat i zbytky potravin včetně složek živočišného původu (např. maso, kosti, živočišné tuky).</w:t>
      </w:r>
    </w:p>
    <w:p w:rsidR="00C95C65" w:rsidRDefault="00F803AF">
      <w:pPr>
        <w:pStyle w:val="Nadpis2"/>
        <w:ind w:hanging="2"/>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V případě, že se jedná o odpad obsahující vedlejší produkty živočišného původu kategorie 3, je dodavatel povinen zajistit, aby s tímto odpadem bylo nakládáno v souladu s platnými právními předpisy, zejména podle nařízení Evropského parlamentu a Rady (ES) č</w:t>
      </w:r>
      <w:r>
        <w:rPr>
          <w:rFonts w:ascii="Calibri" w:eastAsia="Calibri" w:hAnsi="Calibri" w:cs="Calibri"/>
          <w:b w:val="0"/>
          <w:bCs w:val="0"/>
          <w:i w:val="0"/>
          <w:iCs w:val="0"/>
          <w:sz w:val="20"/>
          <w:szCs w:val="20"/>
        </w:rPr>
        <w:t>. 1069/2009 a souvisejících prováděcích předpisů. Dodavatel je povinen zajistit, aby přeprava takového odpadu byla prováděna výhradně subjektem, který disponuje platným povolením Státní veterinární správy k silniční přepravě vedlejších produktů živočišného</w:t>
      </w:r>
      <w:r>
        <w:rPr>
          <w:rFonts w:ascii="Calibri" w:eastAsia="Calibri" w:hAnsi="Calibri" w:cs="Calibri"/>
          <w:b w:val="0"/>
          <w:bCs w:val="0"/>
          <w:i w:val="0"/>
          <w:iCs w:val="0"/>
          <w:sz w:val="20"/>
          <w:szCs w:val="20"/>
        </w:rPr>
        <w:t xml:space="preserve"> původu kategorie 3, a aby byl tento odpad předáván výhradně do koncového zařízení, které je legislativně schváleno a technicky vybaveno k hygienizaci biologicky rozložitelného odpadu obsahujícího vedlejší produkty živočišného původu.</w:t>
      </w:r>
    </w:p>
    <w:p w:rsidR="00C95C65" w:rsidRDefault="00C95C65">
      <w:pPr>
        <w:ind w:hanging="2"/>
      </w:pPr>
    </w:p>
    <w:p w:rsidR="00C95C65" w:rsidRDefault="00F803AF">
      <w:pPr>
        <w:ind w:hanging="2"/>
      </w:pPr>
      <w:r>
        <w:t>Rozsah plnění je vym</w:t>
      </w:r>
      <w:r>
        <w:t>ezen počtem sběrných nádob uvedených v příloze č.3 - Adresný seznam míst výsypů – platném ke dni zahájení plnění veřejné zakázky a současně přepočtem na rozsah poskytovaných služeb vyjádřený v hodinách svozu, přičemž jedné (1) hodině svozu odpovídá 78 sběr</w:t>
      </w:r>
      <w:r>
        <w:t>ných nádob. Tento přepočet představuje výchozí jednotku pro vymezení rozsahu plnění.</w:t>
      </w:r>
    </w:p>
    <w:p w:rsidR="00C95C65" w:rsidRDefault="00C95C65">
      <w:pPr>
        <w:ind w:hanging="2"/>
      </w:pPr>
    </w:p>
    <w:p w:rsidR="00C95C65" w:rsidRDefault="00F803AF">
      <w:pPr>
        <w:ind w:hanging="2"/>
      </w:pPr>
      <w:r>
        <w:t>Změna rozsahu služeb vyjádřená v hodinách svozu, přepočtená dle poměru 78 sběrných nádob = 1 hodina svozu a 39 sběrných nádob = 0,5 hodiny svozu, se promítne do ceny odpo</w:t>
      </w:r>
      <w:r>
        <w:t>vídajícím snížením nebo navýšením ceny za skutečně odebrané služby podle jednotkových cen uvedených v příloze č. 1 smlouvy, a to vždy na základě aktuálně platného pasportu sběrných nádob. Smluvní strany konstatují, že uvedený přepočet slouží výhradně ke ka</w:t>
      </w:r>
      <w:r>
        <w:t>lkulačnímu vymezení rozsahu plnění a nepředstavuje normu výkonu ani závazný ukazatel efektivity svozu.</w:t>
      </w:r>
    </w:p>
    <w:p w:rsidR="00C95C65" w:rsidRDefault="00C95C65">
      <w:pPr>
        <w:ind w:hanging="2"/>
      </w:pPr>
    </w:p>
    <w:p w:rsidR="00C95C65" w:rsidRDefault="00F803AF">
      <w:pPr>
        <w:ind w:hanging="2"/>
      </w:pPr>
      <w:r>
        <w:t xml:space="preserve">Změna rozsahu poskytovaných služeb podle tohoto ustanovení může spočívat rovněž v navýšení celkového počtu sběrných nádob, avšak celkové navýšení počtu </w:t>
      </w:r>
      <w:r>
        <w:t>sběrných nádob nesmí v souhrnu přesáhnout 25 % počtu sběrných nádob uvedeného v pasportu sběrných nádob platném ke dni uzavření smlouvy.</w:t>
      </w:r>
    </w:p>
    <w:p w:rsidR="00C95C65" w:rsidRDefault="00C95C65">
      <w:pPr>
        <w:ind w:hanging="2"/>
      </w:pPr>
    </w:p>
    <w:p w:rsidR="00C95C65" w:rsidRDefault="00F803AF">
      <w:pPr>
        <w:ind w:hanging="2"/>
      </w:pPr>
      <w:r>
        <w:lastRenderedPageBreak/>
        <w:t>Objednatel současně stanoví, že v případě snížení rozsahu poskytovaných služeb v důsledku změny pasportu sběrných nádo</w:t>
      </w:r>
      <w:r>
        <w:t>b nepoklesne rozsah skutečně odebraných služeb pod úroveň odpovídající 95 % původně předpokládaného rozsahu služeb stanoveného v zadávacích podmínkách, pokud nedojde ke změně celkové koncepce systému nakládání s BRO.</w:t>
      </w:r>
    </w:p>
    <w:p w:rsidR="00C95C65" w:rsidRDefault="00C95C65">
      <w:pPr>
        <w:pBdr>
          <w:top w:val="nil"/>
          <w:left w:val="nil"/>
          <w:bottom w:val="nil"/>
          <w:right w:val="nil"/>
          <w:between w:val="nil"/>
        </w:pBdr>
        <w:spacing w:after="160"/>
        <w:ind w:firstLine="0"/>
        <w:rPr>
          <w:color w:val="262626"/>
        </w:rPr>
      </w:pP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Předmětem smlouvy je závazek dodavatele zajistit pro objednatele v této smlouvě specifikované služby v oblasti odpadového hospodářství na celém území objednatele, a to v souladu s platnou právní úpravou, zejména v souladu se Zákonem o odpadech a všemi  jeh</w:t>
      </w:r>
      <w:r>
        <w:rPr>
          <w:color w:val="262626"/>
        </w:rPr>
        <w:t>o prováděcími právními předpisy (dále v textu uváděné jako „Prováděcí vyhláška“ nebo „Vyhláška“), které se dodavatel zavazuje plně dodržovat, na straně jedné, a závazek objednatele hradit dodavateli za řádně a včas poskytnuté služby odměnu v souladu s ujed</w:t>
      </w:r>
      <w:r>
        <w:rPr>
          <w:color w:val="262626"/>
        </w:rPr>
        <w:t>náními této smlouvy.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se zavazuje objednateli dodávat veškeré služby v oblasti odpadového hospodářství v souladu s jejich podrobnou specifikací v této smlouvě, zejména v souladu s podrobnou specifikací uvedenou v dokumentu nazvaném Podrobná výchoz</w:t>
      </w:r>
      <w:r>
        <w:rPr>
          <w:color w:val="262626"/>
        </w:rPr>
        <w:t xml:space="preserve">í specifikace předmětu plnění, který tvoří Přílohu č. 2 této smlouvy jako její nedílná součást, přičemž jsou v něm vymezeny dílčí služby, k jejichž poskytování se dodavatel podpisem této smlouvy zavazuje, předpokládaný rozsah těchto služeb a předpokládaná </w:t>
      </w:r>
      <w:r>
        <w:rPr>
          <w:color w:val="262626"/>
        </w:rPr>
        <w:t xml:space="preserve">četnost jejich plnění (dále v textu jen „Příloha č. 2“). Dále se dodavatel zavazuje k realizaci služeb v souladu s ustanoveními odst. 4 – 6 tohoto článku.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dohodly, že okamžikem převzetí odpadu dodavatelem přechází na dodavatele odpovědn</w:t>
      </w:r>
      <w:r>
        <w:rPr>
          <w:color w:val="262626"/>
        </w:rPr>
        <w:t>ost za převzatý odpad v rozsahu povinností osoby oprávněné k převzetí, přepravě a nakládání s odpady dle Zákona o odpadech a prováděcích právních předpisů, zejména povinnost zajistit jeho přepravu a předání pouze do oprávněných zařízení a vedení souvisejíc</w:t>
      </w:r>
      <w:r>
        <w:rPr>
          <w:color w:val="262626"/>
        </w:rPr>
        <w:t>í evidence. Tím není dotčeno postavení objednatele jako původce odpadu v rozsahu povinností, které mu ukládají právní předpisy.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Součástí předmětu plnění dle této smlouvy jsou mj.:</w:t>
      </w:r>
    </w:p>
    <w:p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Reporty, zprávy, evidence</w:t>
      </w:r>
    </w:p>
    <w:p w:rsidR="00C95C65" w:rsidRDefault="00F803AF">
      <w:pPr>
        <w:pBdr>
          <w:top w:val="nil"/>
          <w:left w:val="nil"/>
          <w:bottom w:val="nil"/>
          <w:right w:val="nil"/>
          <w:between w:val="nil"/>
        </w:pBdr>
        <w:ind w:hanging="2"/>
        <w:rPr>
          <w:color w:val="262626"/>
        </w:rPr>
      </w:pPr>
      <w:bookmarkStart w:id="1" w:name="_heading=h.nut4ojywgkeb" w:colFirst="0" w:colLast="0"/>
      <w:bookmarkEnd w:id="1"/>
      <w:r>
        <w:rPr>
          <w:color w:val="262626"/>
        </w:rPr>
        <w:t>Dodavatel je povinen zpracovávat pro objednatele průběžnou evidenci o odpadech a způsobu nakládání s nimi, a to v souladu s ust.  § 94 odst. 1 Zákona o odpadech a ustanoveními prováděcích právních předpisů vztahujících se k tomuto zákonu; dodavatel je povi</w:t>
      </w:r>
      <w:r>
        <w:rPr>
          <w:color w:val="262626"/>
        </w:rPr>
        <w:t>nen tuto evidenci objednateli předat v elektronickém, editovatelném formátu, plně kompatibilním s formátem MS Excel; dodavatel je povinen předávat objednateli uvedenou průběžně aktualizovanou evidenci v pravidelných měsíčních intervalech, vždy nejpozději d</w:t>
      </w:r>
      <w:r>
        <w:rPr>
          <w:color w:val="262626"/>
        </w:rPr>
        <w:t>o 15 dnů měsíce následujícího;</w:t>
      </w:r>
      <w:r>
        <w:rPr>
          <w:color w:val="000000"/>
        </w:rPr>
        <w:t xml:space="preserve"> </w:t>
      </w:r>
      <w:r>
        <w:rPr>
          <w:color w:val="262626"/>
        </w:rPr>
        <w:t>dodavatel je dále povinen předávat objednateli kompletní evidenci o odpadech a nakládání s nimi v souhrnné podobě za celý předchozí kalendářní rok v pravidelných ročních intervalech, vždy nejpozději do každého 31.1. následují</w:t>
      </w:r>
      <w:r>
        <w:rPr>
          <w:color w:val="262626"/>
        </w:rPr>
        <w:t xml:space="preserve">cího kalendářního roku, a to o stejném obsahu a ve stejné formě jako evidenci měsíční. </w:t>
      </w:r>
      <w:r>
        <w:rPr>
          <w:color w:val="000000"/>
        </w:rPr>
        <w:t>Základní provozní a evidenční data ze svozu musí být dodavatelem předávána objednateli nejpozději do jednoho (1) kalendářního týdne ode dne provedení svozu sběrné nádoby</w:t>
      </w:r>
      <w:r>
        <w:rPr>
          <w:color w:val="262626"/>
        </w:rPr>
        <w:t>;</w:t>
      </w:r>
    </w:p>
    <w:p w:rsidR="00C95C65" w:rsidRDefault="00C95C65">
      <w:pPr>
        <w:pBdr>
          <w:top w:val="nil"/>
          <w:left w:val="nil"/>
          <w:bottom w:val="nil"/>
          <w:right w:val="nil"/>
          <w:between w:val="nil"/>
        </w:pBdr>
        <w:ind w:hanging="2"/>
        <w:rPr>
          <w:color w:val="000000"/>
        </w:rPr>
      </w:pPr>
    </w:p>
    <w:p w:rsidR="00C95C65" w:rsidRDefault="00F803AF">
      <w:pPr>
        <w:numPr>
          <w:ilvl w:val="0"/>
          <w:numId w:val="2"/>
        </w:numPr>
        <w:pBdr>
          <w:top w:val="nil"/>
          <w:left w:val="nil"/>
          <w:bottom w:val="nil"/>
          <w:right w:val="nil"/>
          <w:between w:val="nil"/>
        </w:pBdr>
        <w:spacing w:after="160"/>
        <w:ind w:left="0" w:hanging="2"/>
        <w:rPr>
          <w:color w:val="262626"/>
        </w:rPr>
      </w:pPr>
      <w:r>
        <w:rPr>
          <w:color w:val="262626"/>
        </w:rPr>
        <w:t>dodavatel je povinen přijímat a vyřídit reklamace poskytovaných služeb dle této Smlouvy učiněné objednatelem. Dodavatel je povinen poskytnout objednateli kontaktní emailovou adresu a telefonní číslo pro sdělování reklamací. Dodavatel má povinnost prošet</w:t>
      </w:r>
      <w:r>
        <w:rPr>
          <w:color w:val="262626"/>
        </w:rPr>
        <w:t xml:space="preserve">řit každou reklamaci objednatele v případě její oprávněnosti přijmout opatření k nápravě stavu a oznámit objednateli způsob řešení. Dodavatel je povinen v případě oprávněnosti reklamace odstranit veškeré vady poskytnuté služby do 72 hodin po prokazatelném </w:t>
      </w:r>
      <w:r>
        <w:rPr>
          <w:color w:val="262626"/>
        </w:rPr>
        <w:t>nahlášení reklamace. Dodavatel bude současně povinen evidovat veškeré údaje o přijatých reklamacích či stížnostech ze strany objednatele týkající se nedostatků při poskytování služeb dle této Smlouvy, minimálně však datum přijetí reklamace, jméno reklamují</w:t>
      </w:r>
      <w:r>
        <w:rPr>
          <w:color w:val="262626"/>
        </w:rPr>
        <w:t>cí osoby, jméno osoby přijímající reklamaci, způsob a termín vyřízení reklamace. Oprávněné osoby pro komunikaci ohledně reklamací jsou uvedeny v článku 5.4 této smlouvy.</w:t>
      </w:r>
    </w:p>
    <w:p w:rsidR="00C95C65" w:rsidRDefault="00F803AF">
      <w:pPr>
        <w:numPr>
          <w:ilvl w:val="0"/>
          <w:numId w:val="2"/>
        </w:numPr>
        <w:pBdr>
          <w:top w:val="nil"/>
          <w:left w:val="nil"/>
          <w:bottom w:val="nil"/>
          <w:right w:val="nil"/>
          <w:between w:val="nil"/>
        </w:pBdr>
        <w:spacing w:after="160"/>
        <w:ind w:left="0" w:firstLine="0"/>
        <w:rPr>
          <w:color w:val="262626"/>
        </w:rPr>
      </w:pPr>
      <w:r>
        <w:rPr>
          <w:color w:val="262626"/>
        </w:rPr>
        <w:t>v případě porušení povinností dle předchozího bodu (i) je dodavatel povinen uhradit ob</w:t>
      </w:r>
      <w:r>
        <w:rPr>
          <w:color w:val="262626"/>
        </w:rPr>
        <w:t>jednateli smluvní pokutu dle článku 9 odst. 1 této smlouvy.</w:t>
      </w:r>
    </w:p>
    <w:p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Zabezpečení a organizace svozu</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svoz odpadu provádět v pravidelných intervalech a při splnění dalších podmínek specifikovaných v této smlouvě, zejména v rámci Přílohy č. 2;</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lastRenderedPageBreak/>
        <w:t>dodavatel je povinen zabezpečit, že svoz biologicky rozložitelného komunálního odpadu bude probíhat v pracovních dnech, tj. od pondělí do pátku. Svozové činnosti mohou být prováděny v časovém rozmezí od 5:00 do 22:00 hodin, přičemž dodavatel je povinen při</w:t>
      </w:r>
      <w:r>
        <w:rPr>
          <w:color w:val="262626"/>
        </w:rPr>
        <w:t xml:space="preserve"> organizaci svozu respektovat platné právní předpisy, zejména předpisy upravující ochranu veřejného pořádku, hluku a nočního klidu;</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odstranit znečištění veřejného prostranství, komunikace či jiné plochy, k němuž došlo při vyprazdňování</w:t>
      </w:r>
      <w:r>
        <w:rPr>
          <w:color w:val="262626"/>
        </w:rPr>
        <w:t xml:space="preserve"> nádob na odpady, a zajistit po provedení vyprázdnění nádoby její opětovné přistavení na původní místo;</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t>mimořádná situace zaviněná dodavatelem – dodavatel je povinen přistoupit k řešení mimořádné situace (tzn. situace, kdy nedošlo k realizaci výsypu či svo</w:t>
      </w:r>
      <w:r>
        <w:rPr>
          <w:color w:val="262626"/>
        </w:rPr>
        <w:t>zu dle harmonogramu), kdy nemožnost výsypu či svozu byla způsobena z důvodu ležícího na straně dodavatele (např. nekvalitně poskytnuté služby, závada na svozové technice dodavatele apod.), bez zbytečného odkladu, nejpozději však do 48 hodin od odstranění p</w:t>
      </w:r>
      <w:r>
        <w:rPr>
          <w:color w:val="262626"/>
        </w:rPr>
        <w:t xml:space="preserve">řekážky, která bránila v provedení svozu, nedohodnou-li se spolu smluvní strany jinak, přičemž dodavatel nese veškeré náklady s tímto svozem spojené. Dodavatel je povinen mimořádnost situace zdokumentovat a objednateli doložit do 7 dnů od takové situace; </w:t>
      </w:r>
    </w:p>
    <w:p w:rsidR="00C95C65" w:rsidRDefault="00F803AF">
      <w:pPr>
        <w:numPr>
          <w:ilvl w:val="0"/>
          <w:numId w:val="8"/>
        </w:numPr>
        <w:pBdr>
          <w:top w:val="nil"/>
          <w:left w:val="nil"/>
          <w:bottom w:val="nil"/>
          <w:right w:val="nil"/>
          <w:between w:val="nil"/>
        </w:pBdr>
        <w:spacing w:after="160"/>
        <w:ind w:left="0" w:hanging="2"/>
      </w:pPr>
      <w:r>
        <w:t xml:space="preserve">mimořádná situace nezaviněná dodavatelem – dodavatel je povinen bez zbytečného odkladu, nejpozději však do 7 kalendářních dnů od odstranění překážky, která znemožňovala realizaci výsypu či svozu dle harmonogramu, přistoupit k řešení mimořádné situace, tj. </w:t>
      </w:r>
      <w:r>
        <w:t>situace, kdy nedošlo k realizaci výsypu či svozu dle harmonogramu, a kterou nelze klást k tíži dodavatele; případně i dříve na základě vzájemné dohody smluvních stran. Za mimořádné situace, které nelze klást k tíži dodavatele, se považují zejména situace z</w:t>
      </w:r>
      <w:r>
        <w:t>působené vyšší mocí (zejména živelní události), dále nezajištění sjízdnosti jedné či více komunikací v obci, vandalismus a jiné objektivní důvody. Řešení mimořádné situace dle tohoto písmene bude zpoplatněno podle skutečně odpracovaného času, a to hodinovo</w:t>
      </w:r>
      <w:r>
        <w:t>u sazbou uvedenou v Ceníku služeb, nedohodnou-li se smluvní strany písemně jinak.</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při manipulaci se sběrnými nádobami dbát na jejich stav a jejich případné poškození, ať již způsobené zaměstnanci dodavatele či nikoli, nahlásit objednat</w:t>
      </w:r>
      <w:r>
        <w:rPr>
          <w:color w:val="262626"/>
        </w:rPr>
        <w:t>eli bez zbytečného odkladu, nejpozději však do 24 hodin po zjištění této skutečnosti;</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t>v případě poškození sběrné nádoby ve vlastnictví objednatele, ke které došlo zaviněním ze strany zaměstnance dodavatele, je dodavatel povinen nahradit veškerou takto způs</w:t>
      </w:r>
      <w:r>
        <w:rPr>
          <w:color w:val="262626"/>
        </w:rPr>
        <w:t xml:space="preserve">obenou škodu, tedy v případě nutnosti výměny nádoby za novou i včetně nahrazení RFID čipu; </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předložit objednateli podrobný Harmonogram svozů odpadů, který bude v podrobnostech stanovovat plán svozů odpadů ze stanovišť sběrných nádob sp</w:t>
      </w:r>
      <w:r>
        <w:rPr>
          <w:color w:val="262626"/>
        </w:rPr>
        <w:t>ecifikovaných v příloze č. 2 této smlouvy. Dodavatel je povinen Harmonogram svozů dodržovat. Změny svozových tras a svozových dnů oproti schválenému uspořádání v průběhu plnění veřejné zakázky podléhají předchozímu schválení objednavatelem a mohou být prov</w:t>
      </w:r>
      <w:r>
        <w:rPr>
          <w:color w:val="262626"/>
        </w:rPr>
        <w:t>edeny nejvýše jedenkrát ročně, vždy s účinností k 1. lednu příslušného kalendářního roku, pokud se objednavatel s dodavatelem nedohodnou jinak z důvodu mimořádných provozních okolností.</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t>hůře dostupná místa – v současnosti existují na území objednatele míst</w:t>
      </w:r>
      <w:r>
        <w:rPr>
          <w:color w:val="262626"/>
        </w:rPr>
        <w:t>a hůře dostupná pro svozovou techniku. Seznam hůře dostupných míst je uveden</w:t>
      </w:r>
      <w:r>
        <w:t xml:space="preserve"> </w:t>
      </w:r>
      <w:r>
        <w:rPr>
          <w:color w:val="262626"/>
        </w:rPr>
        <w:t>v příloze smlouvy č. 4 – Seznam hůře dostupných míst.</w:t>
      </w:r>
    </w:p>
    <w:p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zajistit, že osoba, které budou odpady předány, je k jejich převzetí oprávněna (jinak takové osobě nesmí</w:t>
      </w:r>
      <w:r>
        <w:rPr>
          <w:color w:val="262626"/>
        </w:rPr>
        <w:t xml:space="preserve"> být odpad předán); dodavatel je povinen zajistit, že s odpady bude nakládáno pouze v zařízeních, která jsou k nakládání s odpady podle příslušného zákona určena; dodavatel je povinen zajistit likvidaci odpadu v souladu s hierarchií nakládání s odpady tak,</w:t>
      </w:r>
      <w:r>
        <w:rPr>
          <w:color w:val="262626"/>
        </w:rPr>
        <w:t xml:space="preserve"> jak je daná zákonem;</w:t>
      </w:r>
    </w:p>
    <w:p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Požadavky na svozovou techniku dodavatele</w:t>
      </w:r>
    </w:p>
    <w:p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na zimní období přizpůsobit výběr použité svozové techniky podmínkám v místě plnění, ale není povinen provést svoz v místech, kde není zajištěn bezpečný průjezd nebo komunikace nesplňuje základní parametry a normy platné v České republ</w:t>
      </w:r>
      <w:r>
        <w:rPr>
          <w:color w:val="262626"/>
        </w:rPr>
        <w:t>ice;</w:t>
      </w:r>
    </w:p>
    <w:p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zajistit, že veškerá technika použitá dodavatelem na svoz odpadu musí splňovat následující technické parametry – emisní normy – minimálně EURO 5;  dodavatel je povinen po celou dobu trvání této smlouvy disponovat minimálně dvěma (</w:t>
      </w:r>
      <w:r>
        <w:rPr>
          <w:color w:val="262626"/>
        </w:rPr>
        <w:t>2) svozovými vozidly technicky způsobilými k plnění předmětu této smlouvy, a to způsobem odpovídajícím požadavkům stanoveným v zadávací dokumentaci;</w:t>
      </w:r>
    </w:p>
    <w:p w:rsidR="00C95C65" w:rsidRDefault="00F803AF">
      <w:pPr>
        <w:pBdr>
          <w:top w:val="nil"/>
          <w:left w:val="nil"/>
          <w:bottom w:val="nil"/>
          <w:right w:val="nil"/>
          <w:between w:val="nil"/>
        </w:pBdr>
        <w:spacing w:after="160"/>
        <w:ind w:firstLine="0"/>
        <w:rPr>
          <w:color w:val="262626"/>
        </w:rPr>
      </w:pPr>
      <w:r>
        <w:rPr>
          <w:color w:val="262626"/>
        </w:rPr>
        <w:lastRenderedPageBreak/>
        <w:t>za splnění této povinnosti se považuje zejména vlastnictví svozových vozidel dodavatelem, jejich užívání na</w:t>
      </w:r>
      <w:r>
        <w:rPr>
          <w:color w:val="262626"/>
        </w:rPr>
        <w:t xml:space="preserve"> základě nájemní, leasingové nebo jiné obdobné smlouvy, případně zajištění těchto vozidel prostřednictvím poddodavatele, který se podílí na plnění veřejné zakázky v souladu s touto smlouvou;</w:t>
      </w:r>
    </w:p>
    <w:p w:rsidR="00C95C65" w:rsidRDefault="00F803AF">
      <w:pPr>
        <w:numPr>
          <w:ilvl w:val="0"/>
          <w:numId w:val="7"/>
        </w:numPr>
        <w:pBdr>
          <w:top w:val="nil"/>
          <w:left w:val="nil"/>
          <w:bottom w:val="nil"/>
          <w:right w:val="nil"/>
          <w:between w:val="nil"/>
        </w:pBdr>
        <w:spacing w:after="160"/>
        <w:ind w:left="0" w:hanging="2"/>
        <w:rPr>
          <w:color w:val="262626"/>
        </w:rPr>
      </w:pPr>
      <w:r>
        <w:rPr>
          <w:color w:val="262626"/>
        </w:rPr>
        <w:t xml:space="preserve">Požadavek na minimální počet dvou svozových vozidel je sjednán s </w:t>
      </w:r>
      <w:r>
        <w:rPr>
          <w:color w:val="262626"/>
        </w:rPr>
        <w:t>ohledem na povahu a rozsah předmětu této smlouvy a slouží k zajištění plynulého, bezpečného a nepřerušeného poskytování služeb po celou dobu jejího plnění, zejména pro případ technické poruchy, údržby nebo jiné dočasné nedostupnosti jednoho ze svozových vo</w:t>
      </w:r>
      <w:r>
        <w:rPr>
          <w:color w:val="262626"/>
        </w:rPr>
        <w:t>zidel.</w:t>
      </w:r>
    </w:p>
    <w:p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zajistit, aby objednatel mohl pohyb vozidel v katastru města sledovat nejvhodnějším možným způsobem, např. za využití evidenčních dat z RFID svezených nádob, a to včetně možnosti přístupu do archivu za celé smluvní období;</w:t>
      </w:r>
    </w:p>
    <w:p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přizpůsobit výběr použité svozové techniky podmínkám v místě plnění s ohledem na rozměry komunikací na území objednatele a zároveň je objednateli povinen poskytnout informaci o částech obce, které není možné svážet velkým svozovým vozi</w:t>
      </w:r>
      <w:r>
        <w:rPr>
          <w:color w:val="262626"/>
        </w:rPr>
        <w:t xml:space="preserve">dlem;  </w:t>
      </w:r>
    </w:p>
    <w:p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používat na svoz svozovou techniku, která musí být přizpůsobena svozu biologicky rozložitelného komunálního odpadu tak, aby bylo zajištěno bezpečné a hygienicky vyhovující vyprazdňování sběrných nádob, nedocházelo ke kontaminac</w:t>
      </w:r>
      <w:r>
        <w:rPr>
          <w:color w:val="262626"/>
        </w:rPr>
        <w:t>i sebraného materiálu jinými druhy odpadu a ke znečišťování veřejných prostranství.</w:t>
      </w:r>
    </w:p>
    <w:p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Požadavky na vážení odpadu</w:t>
      </w:r>
    </w:p>
    <w:p w:rsidR="00C95C65" w:rsidRDefault="00F803AF">
      <w:pPr>
        <w:numPr>
          <w:ilvl w:val="0"/>
          <w:numId w:val="12"/>
        </w:numPr>
        <w:pBdr>
          <w:top w:val="nil"/>
          <w:left w:val="nil"/>
          <w:bottom w:val="nil"/>
          <w:right w:val="nil"/>
          <w:between w:val="nil"/>
        </w:pBdr>
        <w:rPr>
          <w:color w:val="000000"/>
        </w:rPr>
      </w:pPr>
      <w:bookmarkStart w:id="2" w:name="_heading=h.9uq2q7ay21tr" w:colFirst="0" w:colLast="0"/>
      <w:bookmarkEnd w:id="2"/>
      <w:r>
        <w:rPr>
          <w:color w:val="262626"/>
        </w:rPr>
        <w:t xml:space="preserve">Součástí základního rozsahu plnění je poskytování základních provozních a evidenčních dat ze svozu, a to v rozsahu odpovídajícím technologiím a prostředkům. </w:t>
      </w:r>
      <w:r>
        <w:rPr>
          <w:color w:val="000000"/>
        </w:rPr>
        <w:t>Základní rozsah poskytovaných dat zahrnuje zejména: datum a čas obsluhy sběrné nádoby, identifikaci</w:t>
      </w:r>
      <w:r>
        <w:rPr>
          <w:color w:val="000000"/>
        </w:rPr>
        <w:t xml:space="preserve"> vozidla provádějícího svoz, identifikaci obsloužené sběrné nádoby prostřednictvím RFID čipu (je-li osazen), druh odpadu a typ sběrné nádoby, místo obsluhy vyjádřené lokalizačními údaji (např. GPS). </w:t>
      </w:r>
    </w:p>
    <w:p w:rsidR="00C95C65" w:rsidRDefault="00C95C65">
      <w:pPr>
        <w:pBdr>
          <w:top w:val="nil"/>
          <w:left w:val="nil"/>
          <w:bottom w:val="nil"/>
          <w:right w:val="nil"/>
          <w:between w:val="nil"/>
        </w:pBdr>
        <w:ind w:left="718" w:firstLine="0"/>
        <w:rPr>
          <w:color w:val="000000"/>
        </w:rPr>
      </w:pPr>
    </w:p>
    <w:p w:rsidR="00C95C65" w:rsidRDefault="00F803AF">
      <w:pPr>
        <w:numPr>
          <w:ilvl w:val="0"/>
          <w:numId w:val="12"/>
        </w:numPr>
        <w:pBdr>
          <w:top w:val="nil"/>
          <w:left w:val="nil"/>
          <w:bottom w:val="nil"/>
          <w:right w:val="nil"/>
          <w:between w:val="nil"/>
        </w:pBdr>
        <w:rPr>
          <w:color w:val="000000"/>
        </w:rPr>
      </w:pPr>
      <w:r>
        <w:rPr>
          <w:color w:val="000000"/>
        </w:rPr>
        <w:t>Pokud dodavatel ve své nabídce uvedl plnění nepovinných</w:t>
      </w:r>
      <w:r>
        <w:rPr>
          <w:color w:val="000000"/>
        </w:rPr>
        <w:t xml:space="preserve"> nadstandardních služeb nebo technologických řešení, zejména poskytování provozních či evidenčních údajů nad rámec základního rozsahu plnění, je povinen tyto služby skutečně poskytnout</w:t>
      </w:r>
    </w:p>
    <w:p w:rsidR="00C95C65" w:rsidRDefault="00C95C65">
      <w:pPr>
        <w:ind w:firstLine="0"/>
      </w:pPr>
    </w:p>
    <w:p w:rsidR="00C95C65" w:rsidRDefault="00F803AF">
      <w:pPr>
        <w:numPr>
          <w:ilvl w:val="0"/>
          <w:numId w:val="13"/>
        </w:numPr>
        <w:pBdr>
          <w:top w:val="nil"/>
          <w:left w:val="nil"/>
          <w:bottom w:val="nil"/>
          <w:right w:val="nil"/>
          <w:between w:val="nil"/>
        </w:pBdr>
        <w:spacing w:after="160"/>
        <w:ind w:left="0" w:hanging="2"/>
        <w:rPr>
          <w:color w:val="262626"/>
        </w:rPr>
      </w:pPr>
      <w:r>
        <w:t xml:space="preserve">     </w:t>
      </w:r>
      <w:r>
        <w:rPr>
          <w:b/>
          <w:bCs/>
          <w:color w:val="262626"/>
        </w:rPr>
        <w:t>Požadavky na identifikaci odpadních nádob</w:t>
      </w:r>
    </w:p>
    <w:p w:rsidR="00C95C65" w:rsidRDefault="00F803AF">
      <w:pPr>
        <w:numPr>
          <w:ilvl w:val="0"/>
          <w:numId w:val="9"/>
        </w:numPr>
        <w:pBdr>
          <w:top w:val="nil"/>
          <w:left w:val="nil"/>
          <w:bottom w:val="nil"/>
          <w:right w:val="nil"/>
          <w:between w:val="nil"/>
        </w:pBdr>
        <w:spacing w:after="160"/>
        <w:ind w:left="0" w:hanging="2"/>
        <w:rPr>
          <w:color w:val="262626"/>
        </w:rPr>
      </w:pPr>
      <w:r>
        <w:rPr>
          <w:color w:val="262626"/>
        </w:rPr>
        <w:t>dodavatel je povinen zajistit systém pro čtení RFID čipů při svozu biologicky rozložitelného komunálního odpadu, a to u sběrných nádob o objemu 140 l až 240 l, které jsou RFID čipem osazeny, přičemž tento systém musí zajišťovat:</w:t>
      </w:r>
    </w:p>
    <w:p w:rsidR="00C95C65" w:rsidRDefault="00F803AF">
      <w:pPr>
        <w:numPr>
          <w:ilvl w:val="0"/>
          <w:numId w:val="10"/>
        </w:numPr>
        <w:pBdr>
          <w:top w:val="nil"/>
          <w:left w:val="nil"/>
          <w:bottom w:val="nil"/>
          <w:right w:val="nil"/>
          <w:between w:val="nil"/>
        </w:pBdr>
        <w:spacing w:after="160"/>
        <w:ind w:left="0" w:hanging="2"/>
        <w:rPr>
          <w:color w:val="262626"/>
        </w:rPr>
      </w:pPr>
      <w:r>
        <w:rPr>
          <w:color w:val="262626"/>
        </w:rPr>
        <w:t>využití označení všech uved</w:t>
      </w:r>
      <w:r>
        <w:rPr>
          <w:color w:val="262626"/>
        </w:rPr>
        <w:t>ených odpadních nádob bezkontaktním RFID tagem (využívající frekvenci 134,2 kHz a pracovní režim half duplex, se stupněm ochrany nejméně IP68, který lze na odpadní nádoby osadit šroubováním nebo vlisováním), které umožní jednoznačnou identifikaci každé nád</w:t>
      </w:r>
      <w:r>
        <w:rPr>
          <w:color w:val="262626"/>
        </w:rPr>
        <w:t xml:space="preserve">oby bez nutnosti přímé viditelnosti RFID tagu na dostatečně velkou vzdálenost s možností zcela automatické identifikace každé nádoby bez jakéhokoliv zásahu lidské obsluhy; </w:t>
      </w:r>
    </w:p>
    <w:p w:rsidR="00C95C65" w:rsidRDefault="00F803AF">
      <w:pPr>
        <w:numPr>
          <w:ilvl w:val="0"/>
          <w:numId w:val="10"/>
        </w:numPr>
        <w:pBdr>
          <w:top w:val="nil"/>
          <w:left w:val="nil"/>
          <w:bottom w:val="nil"/>
          <w:right w:val="nil"/>
          <w:between w:val="nil"/>
        </w:pBdr>
        <w:spacing w:after="160"/>
        <w:ind w:left="0" w:hanging="2"/>
        <w:rPr>
          <w:color w:val="262626"/>
        </w:rPr>
      </w:pPr>
      <w:r>
        <w:rPr>
          <w:color w:val="262626"/>
        </w:rPr>
        <w:t>současně s identifikací každé nádoby je uvedený systém povinen zajistit přesné zazn</w:t>
      </w:r>
      <w:r>
        <w:rPr>
          <w:color w:val="262626"/>
        </w:rPr>
        <w:t xml:space="preserve">amenání datumu a času obsluhy sběrné nádoby, identifikaci vozidla provádějící svoz, </w:t>
      </w:r>
      <w:r>
        <w:t>druh odpadu a typ sběrné nádoby a místo obsluhy vyjádřené lokalizačními údaji (např. GPS)</w:t>
      </w:r>
      <w:r>
        <w:rPr>
          <w:color w:val="262626"/>
        </w:rPr>
        <w:t xml:space="preserve">; </w:t>
      </w:r>
    </w:p>
    <w:p w:rsidR="00C95C65" w:rsidRDefault="00F803AF">
      <w:pPr>
        <w:pBdr>
          <w:top w:val="nil"/>
          <w:left w:val="nil"/>
          <w:bottom w:val="nil"/>
          <w:right w:val="nil"/>
          <w:between w:val="nil"/>
        </w:pBdr>
        <w:spacing w:after="160"/>
        <w:ind w:firstLine="0"/>
        <w:rPr>
          <w:color w:val="262626"/>
        </w:rPr>
      </w:pPr>
      <w:r>
        <w:t xml:space="preserve">ii) sběrné nádoby budou postupně osazovány identifikačními RFID čipy sloužícími </w:t>
      </w:r>
      <w:r>
        <w:t>k evidenci a kontrole svozu. Město zajistí osazení všech sběrných nádob RFID čipy nejpozději do 31. 5. 2026.</w:t>
      </w:r>
    </w:p>
    <w:p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Využití a/nebo odstranění odpadu</w:t>
      </w:r>
    </w:p>
    <w:p w:rsidR="00C95C65" w:rsidRDefault="00F803AF">
      <w:pPr>
        <w:numPr>
          <w:ilvl w:val="0"/>
          <w:numId w:val="11"/>
        </w:numPr>
        <w:pBdr>
          <w:top w:val="nil"/>
          <w:left w:val="nil"/>
          <w:bottom w:val="nil"/>
          <w:right w:val="nil"/>
          <w:between w:val="nil"/>
        </w:pBdr>
        <w:spacing w:after="160"/>
        <w:ind w:left="0" w:hanging="2"/>
        <w:rPr>
          <w:color w:val="262626"/>
        </w:rPr>
      </w:pPr>
      <w:r>
        <w:rPr>
          <w:color w:val="262626"/>
        </w:rPr>
        <w:t>dodavatel je povinen zajistit předání biologicky rozložitelného komunálního odpadu do zařízení oprávněného k jeho převzetí a zpracování nebo využití v souladu s platnými právními předpisy;</w:t>
      </w:r>
    </w:p>
    <w:p w:rsidR="00C95C65" w:rsidRDefault="00F803AF">
      <w:pPr>
        <w:numPr>
          <w:ilvl w:val="0"/>
          <w:numId w:val="11"/>
        </w:numPr>
        <w:pBdr>
          <w:top w:val="nil"/>
          <w:left w:val="nil"/>
          <w:bottom w:val="nil"/>
          <w:right w:val="nil"/>
          <w:between w:val="nil"/>
        </w:pBdr>
        <w:spacing w:after="160"/>
        <w:ind w:left="0" w:hanging="2"/>
        <w:rPr>
          <w:color w:val="262626"/>
        </w:rPr>
      </w:pPr>
      <w:r>
        <w:rPr>
          <w:color w:val="262626"/>
        </w:rPr>
        <w:t>volba konkrétního koncového zařízení je plně v odpovědnosti dodavat</w:t>
      </w:r>
      <w:r>
        <w:rPr>
          <w:color w:val="262626"/>
        </w:rPr>
        <w:t>ele, který odpovídá za splnění všech zákonných a provozních podmínek po celou dobu plnění veřejné zakázky;</w:t>
      </w:r>
    </w:p>
    <w:p w:rsidR="00C95C65" w:rsidRDefault="00F803AF">
      <w:pPr>
        <w:numPr>
          <w:ilvl w:val="0"/>
          <w:numId w:val="11"/>
        </w:numPr>
        <w:pBdr>
          <w:top w:val="nil"/>
          <w:left w:val="nil"/>
          <w:bottom w:val="nil"/>
          <w:right w:val="nil"/>
          <w:between w:val="nil"/>
        </w:pBdr>
        <w:spacing w:after="160"/>
        <w:ind w:left="0" w:hanging="2"/>
        <w:rPr>
          <w:color w:val="262626"/>
        </w:rPr>
      </w:pPr>
      <w:r>
        <w:rPr>
          <w:color w:val="262626"/>
        </w:rPr>
        <w:lastRenderedPageBreak/>
        <w:t>objednatel upozorňuje, že součástí BRO shromážděných v přistavených nádobách mohou být i živočišné zbytky. Z tohoto důvodu je také nutné, aby koncové</w:t>
      </w:r>
      <w:r>
        <w:rPr>
          <w:color w:val="262626"/>
        </w:rPr>
        <w:t xml:space="preserve"> zařízení mělo oprávnění k jejich zpracování.</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Cena předmětu plnění</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Objednatel se zavazuje za řádně dodané služby dle této smlouvy dodavateli čtvrtletně uhradit cenu dle Ceníku služeb, přičemž tento ceník tvoří Přílohu č. 1 této smlouvy jako její nedílná součást, a to v rozsahu dle skutečně odebraných a využitých služeb.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Jednotkové ceny za jednotlivé dílčí položky služeb poskytovaných dle této smlouvy uvedené v Ceníku služeb jsou pro dodavatele závazné po celou dobu trvání této smlouvy. Veškeré jednotkové ceny uvedené v Ceníku služeb jsou pro dodavatele závazné i v případě</w:t>
      </w:r>
      <w:r>
        <w:rPr>
          <w:color w:val="262626"/>
        </w:rPr>
        <w:t>, že celkový objem skutečně odebraných služeb nebude dosahovat původního odhadu uvedenému objednatelem v zadávacích podmínkách, resp. v Příloze č. 2 této smlouvy, a rovněž v případě, že objem skutečně odebraných služeb původní odhad objednatele přesáhne (j</w:t>
      </w:r>
      <w:r>
        <w:rPr>
          <w:color w:val="262626"/>
        </w:rPr>
        <w:t xml:space="preserve">sou tedy stanovené bez ohledu na skutečné množství odebraných služeb). Pokud objednatel bude požadovat dodání jiné služby, než je uvedena v Příloze č. 2 této smlouvy, bude pro dodavatele závazná rovněž jednotková cena uvedená v Ceníku služeb.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V těchto jed</w:t>
      </w:r>
      <w:r>
        <w:rPr>
          <w:color w:val="262626"/>
        </w:rPr>
        <w:t>notkových cenách musí být započítány veškeré náklady dodavatele související s kompletním předmětem plnění této smlouvy, s řádným poskytováním veškerých služeb dle této smlouvy a s plněním veškerých požadavků a povinností dle této smlouvy. Žádné další nákla</w:t>
      </w:r>
      <w:r>
        <w:rPr>
          <w:color w:val="262626"/>
        </w:rPr>
        <w:t xml:space="preserve">dy související s plněním předmětu této smlouvy, s poskytováním služeb dle této smlouvy a s plněním veškerých požadavků a povinností dle této smlouvy nebudou dodavateli hrazeny s výjimkou situací dle čl. 3.4. této smlouvy.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Objednatel si v souladu s § 100 o</w:t>
      </w:r>
      <w:r>
        <w:rPr>
          <w:color w:val="262626"/>
        </w:rPr>
        <w:t>dst. 1 zákona č. 134/2016 Sb., o zadávání veřejných zakázek, vyhrazuje právo provést úpravu jednotkových cen sjednaných ve smlouvě v případě změny vnějších nákladových vlivů, které mají přímý a podstatný dopad na náklady plnění veřejné zakázky a které žádn</w:t>
      </w:r>
      <w:r>
        <w:rPr>
          <w:color w:val="262626"/>
        </w:rPr>
        <w:t>á ze smluvních stran nemůže svým jednáním ovlivnit.</w:t>
      </w:r>
    </w:p>
    <w:p w:rsidR="00C95C65" w:rsidRDefault="00F803AF">
      <w:pPr>
        <w:pBdr>
          <w:top w:val="nil"/>
          <w:left w:val="nil"/>
          <w:bottom w:val="nil"/>
          <w:right w:val="nil"/>
          <w:between w:val="nil"/>
        </w:pBdr>
        <w:spacing w:after="160"/>
        <w:ind w:firstLine="0"/>
        <w:rPr>
          <w:color w:val="262626"/>
        </w:rPr>
      </w:pPr>
      <w:r>
        <w:rPr>
          <w:color w:val="262626"/>
        </w:rPr>
        <w:t>a) Pohonné hmoty (PHM)</w:t>
      </w:r>
    </w:p>
    <w:p w:rsidR="00C95C65" w:rsidRDefault="00F803AF">
      <w:pPr>
        <w:pBdr>
          <w:top w:val="nil"/>
          <w:left w:val="nil"/>
          <w:bottom w:val="nil"/>
          <w:right w:val="nil"/>
          <w:between w:val="nil"/>
        </w:pBdr>
        <w:spacing w:after="160"/>
        <w:ind w:firstLine="0"/>
        <w:rPr>
          <w:color w:val="262626"/>
        </w:rPr>
      </w:pPr>
      <w:r>
        <w:rPr>
          <w:color w:val="262626"/>
        </w:rPr>
        <w:t>K úpravě jednotkových cen může dojít tehdy, pokud dojde ke změně průměrné ceny motorové nafty vyhlašované Českým statistickým úřadem o více než ±10 % oproti referenční hodnotě platn</w:t>
      </w:r>
      <w:r>
        <w:rPr>
          <w:color w:val="262626"/>
        </w:rPr>
        <w:t>é ke dni podání nabídek.</w:t>
      </w:r>
    </w:p>
    <w:p w:rsidR="00C95C65" w:rsidRDefault="00F803AF">
      <w:pPr>
        <w:pBdr>
          <w:top w:val="nil"/>
          <w:left w:val="nil"/>
          <w:bottom w:val="nil"/>
          <w:right w:val="nil"/>
          <w:between w:val="nil"/>
        </w:pBdr>
        <w:spacing w:after="160"/>
        <w:ind w:firstLine="0"/>
        <w:rPr>
          <w:color w:val="262626"/>
        </w:rPr>
      </w:pPr>
      <w:r>
        <w:rPr>
          <w:color w:val="262626"/>
        </w:rPr>
        <w:t>Pro účely výpočtu úpravy jednotkových cen se stanoví, že nákladová složka pohonných hmot tvoří pevně stanovený podíl jednotkové ceny, a to 25 % jednotkové ceny bez DPH uvedené v nabídce dodavatele.</w:t>
      </w:r>
    </w:p>
    <w:p w:rsidR="00C95C65" w:rsidRDefault="00F803AF">
      <w:pPr>
        <w:pBdr>
          <w:top w:val="nil"/>
          <w:left w:val="nil"/>
          <w:bottom w:val="nil"/>
          <w:right w:val="nil"/>
          <w:between w:val="nil"/>
        </w:pBdr>
        <w:spacing w:after="160"/>
        <w:ind w:firstLine="0"/>
        <w:rPr>
          <w:color w:val="262626"/>
        </w:rPr>
      </w:pPr>
      <w:r>
        <w:rPr>
          <w:color w:val="262626"/>
        </w:rPr>
        <w:t>Úprava jednotkové ceny se vypočte</w:t>
      </w:r>
      <w:r>
        <w:rPr>
          <w:color w:val="262626"/>
        </w:rPr>
        <w:t xml:space="preserve"> jako součin:</w:t>
      </w:r>
    </w:p>
    <w:p w:rsidR="00C95C65" w:rsidRDefault="00F803AF">
      <w:pPr>
        <w:pBdr>
          <w:top w:val="nil"/>
          <w:left w:val="nil"/>
          <w:bottom w:val="nil"/>
          <w:right w:val="nil"/>
          <w:between w:val="nil"/>
        </w:pBdr>
        <w:spacing w:after="160"/>
        <w:ind w:firstLine="0"/>
        <w:rPr>
          <w:color w:val="262626"/>
        </w:rPr>
      </w:pPr>
      <w:r>
        <w:rPr>
          <w:color w:val="262626"/>
        </w:rPr>
        <w:t>procentní změny průměrné ceny motorové nafty dle údajů Českého statistického úřadu,</w:t>
      </w:r>
    </w:p>
    <w:p w:rsidR="00C95C65" w:rsidRDefault="00F803AF">
      <w:pPr>
        <w:pBdr>
          <w:top w:val="nil"/>
          <w:left w:val="nil"/>
          <w:bottom w:val="nil"/>
          <w:right w:val="nil"/>
          <w:between w:val="nil"/>
        </w:pBdr>
        <w:spacing w:after="160"/>
        <w:ind w:firstLine="0"/>
        <w:rPr>
          <w:color w:val="262626"/>
        </w:rPr>
      </w:pPr>
      <w:r>
        <w:rPr>
          <w:color w:val="262626"/>
        </w:rPr>
        <w:t>stanoveného podílu nákladů na pohonné hmoty,</w:t>
      </w:r>
    </w:p>
    <w:p w:rsidR="00C95C65" w:rsidRDefault="00F803AF">
      <w:pPr>
        <w:pBdr>
          <w:top w:val="nil"/>
          <w:left w:val="nil"/>
          <w:bottom w:val="nil"/>
          <w:right w:val="nil"/>
          <w:between w:val="nil"/>
        </w:pBdr>
        <w:spacing w:after="160"/>
        <w:ind w:firstLine="0"/>
        <w:rPr>
          <w:color w:val="262626"/>
        </w:rPr>
      </w:pPr>
      <w:r>
        <w:rPr>
          <w:color w:val="262626"/>
        </w:rPr>
        <w:t>původní jednotkové ceny bez DPH.</w:t>
      </w:r>
    </w:p>
    <w:p w:rsidR="00C95C65" w:rsidRDefault="00F803AF">
      <w:pPr>
        <w:pBdr>
          <w:top w:val="nil"/>
          <w:left w:val="nil"/>
          <w:bottom w:val="nil"/>
          <w:right w:val="nil"/>
          <w:between w:val="nil"/>
        </w:pBdr>
        <w:spacing w:after="160"/>
        <w:ind w:firstLine="0"/>
        <w:rPr>
          <w:color w:val="262626"/>
        </w:rPr>
      </w:pPr>
      <w:r>
        <w:rPr>
          <w:color w:val="262626"/>
        </w:rPr>
        <w:t>Úprava jednotkových cen podle tohoto ustanovení se provádí symetricky, tj. jak p</w:t>
      </w:r>
      <w:r>
        <w:rPr>
          <w:color w:val="262626"/>
        </w:rPr>
        <w:t>ři nárůstu, tak při poklesu ceny pohonných hmot.</w:t>
      </w:r>
    </w:p>
    <w:p w:rsidR="00C95C65" w:rsidRDefault="00C95C65">
      <w:pPr>
        <w:pBdr>
          <w:top w:val="nil"/>
          <w:left w:val="nil"/>
          <w:bottom w:val="nil"/>
          <w:right w:val="nil"/>
          <w:between w:val="nil"/>
        </w:pBdr>
        <w:spacing w:after="160"/>
        <w:ind w:firstLine="0"/>
        <w:rPr>
          <w:color w:val="262626"/>
        </w:rPr>
      </w:pPr>
    </w:p>
    <w:p w:rsidR="00C95C65" w:rsidRDefault="00F803AF">
      <w:pPr>
        <w:pBdr>
          <w:top w:val="nil"/>
          <w:left w:val="nil"/>
          <w:bottom w:val="nil"/>
          <w:right w:val="nil"/>
          <w:between w:val="nil"/>
        </w:pBdr>
        <w:spacing w:after="160"/>
        <w:ind w:firstLine="0"/>
        <w:rPr>
          <w:color w:val="262626"/>
        </w:rPr>
      </w:pPr>
      <w:r>
        <w:rPr>
          <w:color w:val="262626"/>
        </w:rPr>
        <w:t>b) Legislativní a regulatorní změny (včetně ETS II)</w:t>
      </w:r>
    </w:p>
    <w:p w:rsidR="00C95C65" w:rsidRDefault="00F803AF">
      <w:pPr>
        <w:pBdr>
          <w:top w:val="nil"/>
          <w:left w:val="nil"/>
          <w:bottom w:val="nil"/>
          <w:right w:val="nil"/>
          <w:between w:val="nil"/>
        </w:pBdr>
        <w:spacing w:after="160"/>
        <w:ind w:firstLine="0"/>
        <w:rPr>
          <w:color w:val="262626"/>
        </w:rPr>
      </w:pPr>
      <w:r>
        <w:rPr>
          <w:color w:val="262626"/>
        </w:rPr>
        <w:t>Objednatel si dále vyhrazuje právo provést úpravu jednotkových cen v případě zavedení nových nebo změny stávajících právních předpisů, regulatorních opatř</w:t>
      </w:r>
      <w:r>
        <w:rPr>
          <w:color w:val="262626"/>
        </w:rPr>
        <w:t>ení nebo povinností veřejnoprávní povahy, zejména v oblasti:</w:t>
      </w:r>
    </w:p>
    <w:p w:rsidR="00C95C65" w:rsidRDefault="00F803AF">
      <w:pPr>
        <w:pBdr>
          <w:top w:val="nil"/>
          <w:left w:val="nil"/>
          <w:bottom w:val="nil"/>
          <w:right w:val="nil"/>
          <w:between w:val="nil"/>
        </w:pBdr>
        <w:spacing w:after="160"/>
        <w:ind w:firstLine="0"/>
        <w:rPr>
          <w:color w:val="262626"/>
        </w:rPr>
      </w:pPr>
      <w:r>
        <w:rPr>
          <w:color w:val="262626"/>
        </w:rPr>
        <w:t>emisních povolenek, včetně systému EU ETS II,</w:t>
      </w:r>
    </w:p>
    <w:p w:rsidR="00C95C65" w:rsidRDefault="00F803AF">
      <w:pPr>
        <w:pBdr>
          <w:top w:val="nil"/>
          <w:left w:val="nil"/>
          <w:bottom w:val="nil"/>
          <w:right w:val="nil"/>
          <w:between w:val="nil"/>
        </w:pBdr>
        <w:spacing w:after="160"/>
        <w:ind w:firstLine="0"/>
        <w:rPr>
          <w:color w:val="262626"/>
        </w:rPr>
      </w:pPr>
      <w:r>
        <w:rPr>
          <w:color w:val="262626"/>
        </w:rPr>
        <w:t>spotřebních daní,</w:t>
      </w:r>
    </w:p>
    <w:p w:rsidR="00C95C65" w:rsidRDefault="00F803AF">
      <w:pPr>
        <w:pBdr>
          <w:top w:val="nil"/>
          <w:left w:val="nil"/>
          <w:bottom w:val="nil"/>
          <w:right w:val="nil"/>
          <w:between w:val="nil"/>
        </w:pBdr>
        <w:spacing w:after="160"/>
        <w:ind w:firstLine="0"/>
        <w:rPr>
          <w:color w:val="262626"/>
        </w:rPr>
      </w:pPr>
      <w:r>
        <w:rPr>
          <w:color w:val="262626"/>
        </w:rPr>
        <w:t>ekologických poplatků,</w:t>
      </w:r>
    </w:p>
    <w:p w:rsidR="00C95C65" w:rsidRDefault="00F803AF">
      <w:pPr>
        <w:pBdr>
          <w:top w:val="nil"/>
          <w:left w:val="nil"/>
          <w:bottom w:val="nil"/>
          <w:right w:val="nil"/>
          <w:between w:val="nil"/>
        </w:pBdr>
        <w:spacing w:after="160"/>
        <w:ind w:firstLine="0"/>
        <w:rPr>
          <w:color w:val="262626"/>
        </w:rPr>
      </w:pPr>
      <w:r>
        <w:rPr>
          <w:color w:val="262626"/>
        </w:rPr>
        <w:t>jiných povinných plateb souvisejících s provozem vozidel nebo nakládáním s odpady,</w:t>
      </w:r>
    </w:p>
    <w:p w:rsidR="00C95C65" w:rsidRDefault="00F803AF">
      <w:pPr>
        <w:pBdr>
          <w:top w:val="nil"/>
          <w:left w:val="nil"/>
          <w:bottom w:val="nil"/>
          <w:right w:val="nil"/>
          <w:between w:val="nil"/>
        </w:pBdr>
        <w:spacing w:after="160"/>
        <w:ind w:firstLine="0"/>
        <w:rPr>
          <w:color w:val="262626"/>
        </w:rPr>
      </w:pPr>
      <w:r>
        <w:rPr>
          <w:color w:val="262626"/>
        </w:rPr>
        <w:lastRenderedPageBreak/>
        <w:t>pokud mají tyto změny přímý a prokazatelný dopad na náklady plnění veřejné zakázky.</w:t>
      </w:r>
    </w:p>
    <w:p w:rsidR="00C95C65" w:rsidRDefault="00F803AF">
      <w:pPr>
        <w:pBdr>
          <w:top w:val="nil"/>
          <w:left w:val="nil"/>
          <w:bottom w:val="nil"/>
          <w:right w:val="nil"/>
          <w:between w:val="nil"/>
        </w:pBdr>
        <w:spacing w:after="160"/>
        <w:ind w:firstLine="0"/>
        <w:rPr>
          <w:color w:val="262626"/>
        </w:rPr>
      </w:pPr>
      <w:r>
        <w:rPr>
          <w:color w:val="262626"/>
        </w:rPr>
        <w:t>Úprava jednotkových cen je v těchto případech možná pouze v rozsahu odpovídajícím skutečnému dopadu takové změny na nákladovou strukturu plnění a provádí se na základě obje</w:t>
      </w:r>
      <w:r>
        <w:rPr>
          <w:color w:val="262626"/>
        </w:rPr>
        <w:t>ktivně doložitelných podkladů.</w:t>
      </w:r>
    </w:p>
    <w:p w:rsidR="00C95C65" w:rsidRDefault="00C95C65">
      <w:pPr>
        <w:pBdr>
          <w:top w:val="nil"/>
          <w:left w:val="nil"/>
          <w:bottom w:val="nil"/>
          <w:right w:val="nil"/>
          <w:between w:val="nil"/>
        </w:pBdr>
        <w:spacing w:after="160"/>
        <w:ind w:firstLine="0"/>
        <w:rPr>
          <w:color w:val="262626"/>
        </w:rPr>
      </w:pPr>
    </w:p>
    <w:p w:rsidR="00C95C65" w:rsidRDefault="00F803AF">
      <w:pPr>
        <w:pBdr>
          <w:top w:val="nil"/>
          <w:left w:val="nil"/>
          <w:bottom w:val="nil"/>
          <w:right w:val="nil"/>
          <w:between w:val="nil"/>
        </w:pBdr>
        <w:spacing w:after="160"/>
        <w:ind w:firstLine="0"/>
        <w:rPr>
          <w:color w:val="262626"/>
        </w:rPr>
      </w:pPr>
      <w:r>
        <w:rPr>
          <w:color w:val="262626"/>
        </w:rPr>
        <w:t>c) Změna sazby daně z přidané hodnoty (DPH)</w:t>
      </w:r>
    </w:p>
    <w:p w:rsidR="00C95C65" w:rsidRDefault="00F803AF">
      <w:pPr>
        <w:pBdr>
          <w:top w:val="nil"/>
          <w:left w:val="nil"/>
          <w:bottom w:val="nil"/>
          <w:right w:val="nil"/>
          <w:between w:val="nil"/>
        </w:pBdr>
        <w:spacing w:after="160"/>
        <w:ind w:firstLine="0"/>
        <w:rPr>
          <w:color w:val="262626"/>
        </w:rPr>
      </w:pPr>
      <w:r>
        <w:rPr>
          <w:color w:val="262626"/>
        </w:rPr>
        <w:t>V případě změny zákonné sazby daně z přidané hodnoty bude cena plnění automaticky upravena v souladu s platnými právními předpisy, a to bez nutnosti uzavření dodatku ke smlouvě, př</w:t>
      </w:r>
      <w:r>
        <w:rPr>
          <w:color w:val="262626"/>
        </w:rPr>
        <w:t>ičemž jednotkové ceny bez DPH zůstávají změnou sazby DPH nedotčeny.</w:t>
      </w:r>
    </w:p>
    <w:p w:rsidR="00C95C65" w:rsidRDefault="00C95C65">
      <w:pPr>
        <w:pBdr>
          <w:top w:val="nil"/>
          <w:left w:val="nil"/>
          <w:bottom w:val="nil"/>
          <w:right w:val="nil"/>
          <w:between w:val="nil"/>
        </w:pBdr>
        <w:spacing w:after="160"/>
        <w:ind w:firstLine="0"/>
        <w:rPr>
          <w:color w:val="262626"/>
        </w:rPr>
      </w:pPr>
    </w:p>
    <w:p w:rsidR="00C95C65" w:rsidRDefault="00F803AF">
      <w:pPr>
        <w:pBdr>
          <w:top w:val="nil"/>
          <w:left w:val="nil"/>
          <w:bottom w:val="nil"/>
          <w:right w:val="nil"/>
          <w:between w:val="nil"/>
        </w:pBdr>
        <w:spacing w:after="160"/>
        <w:ind w:firstLine="0"/>
        <w:rPr>
          <w:color w:val="262626"/>
        </w:rPr>
      </w:pPr>
      <w:r>
        <w:rPr>
          <w:color w:val="262626"/>
        </w:rPr>
        <w:t>d) Indexace ostatních nákladových položek (inflace)</w:t>
      </w:r>
    </w:p>
    <w:p w:rsidR="00C95C65" w:rsidRDefault="00F803AF">
      <w:pPr>
        <w:pBdr>
          <w:top w:val="nil"/>
          <w:left w:val="nil"/>
          <w:bottom w:val="nil"/>
          <w:right w:val="nil"/>
          <w:between w:val="nil"/>
        </w:pBdr>
        <w:spacing w:after="160"/>
        <w:ind w:firstLine="0"/>
        <w:rPr>
          <w:color w:val="262626"/>
        </w:rPr>
      </w:pPr>
      <w:r>
        <w:rPr>
          <w:color w:val="262626"/>
        </w:rPr>
        <w:t>U ostatních nákladových položek, které nejsou zahrnuty pod písmena a) až c), je objednatel oprávněn provést úpravu jednotkových cen nej</w:t>
      </w:r>
      <w:r>
        <w:rPr>
          <w:color w:val="262626"/>
        </w:rPr>
        <w:t>výše jedenkrát ročně, vždy s účinností k 1. lednu příslušného kalendářního roku, na základě meziroční míry inflace vyjádřené indexem spotřebitelských cen (CPI) zveřejňovaným Českým statistickým úřadem.</w:t>
      </w:r>
    </w:p>
    <w:p w:rsidR="00C95C65" w:rsidRDefault="00F803AF">
      <w:pPr>
        <w:pBdr>
          <w:top w:val="nil"/>
          <w:left w:val="nil"/>
          <w:bottom w:val="nil"/>
          <w:right w:val="nil"/>
          <w:between w:val="nil"/>
        </w:pBdr>
        <w:spacing w:after="160"/>
        <w:ind w:firstLine="0"/>
        <w:rPr>
          <w:color w:val="262626"/>
        </w:rPr>
      </w:pPr>
      <w:r>
        <w:rPr>
          <w:color w:val="262626"/>
        </w:rPr>
        <w:t>e) Společná ustanovení</w:t>
      </w:r>
    </w:p>
    <w:p w:rsidR="00C95C65" w:rsidRDefault="00F803AF">
      <w:pPr>
        <w:pBdr>
          <w:top w:val="nil"/>
          <w:left w:val="nil"/>
          <w:bottom w:val="nil"/>
          <w:right w:val="nil"/>
          <w:between w:val="nil"/>
        </w:pBdr>
        <w:spacing w:after="160"/>
        <w:ind w:firstLine="0"/>
        <w:rPr>
          <w:color w:val="262626"/>
        </w:rPr>
      </w:pPr>
      <w:r>
        <w:rPr>
          <w:color w:val="262626"/>
        </w:rPr>
        <w:t>Úprava jednotkových cen podle tohoto bodu není automatická a nevzniká na ni dodavateli právní nárok; s výjimkou změny sazby DPH dochází k úpravě výhradně na základě písemného dodatku ke smlouvě schváleného objednatelem.</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Ke sjednané ceně je objednatel povin</w:t>
      </w:r>
      <w:r>
        <w:rPr>
          <w:color w:val="262626"/>
        </w:rPr>
        <w:t>en též uhradit daň z přidané hodnoty v sazbě platné ke dni zdanitelného plnění, je-li zákonem úhrada DPH předepsána. Platby budou probíhat výhradně v Kč (CZK), rovněž veškeré cenové údaje budou uváděny v této měně.</w:t>
      </w:r>
    </w:p>
    <w:p w:rsidR="00C95C65" w:rsidRDefault="00F803AF">
      <w:pPr>
        <w:numPr>
          <w:ilvl w:val="1"/>
          <w:numId w:val="1"/>
        </w:numPr>
        <w:pBdr>
          <w:top w:val="nil"/>
          <w:left w:val="nil"/>
          <w:bottom w:val="nil"/>
          <w:right w:val="nil"/>
          <w:between w:val="nil"/>
        </w:pBdr>
        <w:spacing w:before="120"/>
        <w:ind w:left="0" w:hanging="2"/>
        <w:rPr>
          <w:color w:val="262626"/>
        </w:rPr>
      </w:pPr>
      <w:r>
        <w:rPr>
          <w:color w:val="262626"/>
        </w:rPr>
        <w:t>Dodavatel objednateli zašle vyúčtování na základě skutečně odebraných služeb čtvrtletně, a to vždy po skončení kalendářního čtvrtletí na základě skutečně odebraných služeb a při dodržení jednotkových cen uvedených v cenové tabulce. Splatnost faktur je 14 k</w:t>
      </w:r>
      <w:r>
        <w:rPr>
          <w:color w:val="262626"/>
        </w:rPr>
        <w:t>alendářních dnů.</w:t>
      </w:r>
    </w:p>
    <w:p w:rsidR="00C95C65" w:rsidRDefault="00C95C65">
      <w:pPr>
        <w:pBdr>
          <w:top w:val="nil"/>
          <w:left w:val="nil"/>
          <w:bottom w:val="nil"/>
          <w:right w:val="nil"/>
          <w:between w:val="nil"/>
        </w:pBdr>
        <w:spacing w:after="160"/>
        <w:ind w:firstLine="0"/>
        <w:rPr>
          <w:color w:val="262626"/>
        </w:rPr>
      </w:pP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Faktura musí obsahovat všechny náležitosti řádného účetního a daňového dokladu ve smyslu příslušných právních předpisů.</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Místo a doba poskytování služeb</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Veškeré služby, k jejichž realizaci je dodavatel povinen dle této smlouvy, budou ze strany dodavatele poskytovány na celém území města objednatele, tzn. ve všech katastrálních územích objednatele. Dodavatel se zavazuje poskytovat objednateli veškeré služby</w:t>
      </w:r>
      <w:r>
        <w:rPr>
          <w:color w:val="262626"/>
        </w:rPr>
        <w:t xml:space="preserve"> v souladu s touto smlouvou po celou dobu trvání smlouvy. Bližší podrobnosti jsou specifikovány v přílohách k této smlouvě, zejména v Příloze č. 2.</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je povinen realizovat služby, které jsou předmětem této smlouvy v souladu s Přílohou č. 2, příp. v</w:t>
      </w:r>
      <w:r>
        <w:rPr>
          <w:color w:val="262626"/>
        </w:rPr>
        <w:t xml:space="preserve"> souladu se změnami realizovanými dle této smlouvy, přičemž konkrétní svozové dny budou stanoveny dodavatelem a budou podléhat schválení objednatele.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Smlouva se uzavírá na dobu určitou v délce 4 let, a to od 1.3.2026 do 28.2.2030 </w:t>
      </w:r>
      <w:r>
        <w:rPr>
          <w:i/>
          <w:iCs/>
          <w:color w:val="262626"/>
          <w:highlight w:val="magenta"/>
        </w:rPr>
        <w:t>(bude doplněno v závislos</w:t>
      </w:r>
      <w:r>
        <w:rPr>
          <w:i/>
          <w:iCs/>
          <w:color w:val="262626"/>
          <w:highlight w:val="magenta"/>
        </w:rPr>
        <w:t>ti na vývoji zadávacího řízení)</w:t>
      </w:r>
      <w:r>
        <w:rPr>
          <w:i/>
          <w:iCs/>
          <w:color w:val="262626"/>
        </w:rPr>
        <w:t>.</w:t>
      </w:r>
      <w:r>
        <w:rPr>
          <w:color w:val="262626"/>
        </w:rPr>
        <w:t xml:space="preserve"> Tato smlouva nabývá účinnosti následujícím dnem po skončení současného právního vztahu mezi objednatelem a stávajícím dodavatelem služeb v oblasti odpadového hospodářství, nejdéle však o 7 měsíců od uzavření smlouvy s vybra</w:t>
      </w:r>
      <w:r>
        <w:rPr>
          <w:color w:val="262626"/>
        </w:rPr>
        <w:t>ným dodavatelem.</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V případě posunu nabytí účinnosti se odpovídajícím způsobem posouvá i doba trvání smlouvy.</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Práva a povinnosti dodavatele</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lastRenderedPageBreak/>
        <w:t>Dodavatel je povinen zajistit poskytování služeb dle této smlouvy dostatečným počtem kvalifikovaných osob, přičemž dod</w:t>
      </w:r>
      <w:r>
        <w:rPr>
          <w:color w:val="262626"/>
        </w:rPr>
        <w:t>avatel je povinen vždy zajistit, aby činnost vyžadující určitou kvalifikaci byla vykonávána vždy takovými fyzickými osobami, které příslušnou kvalifikaci mají.</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je oprávněn k poskytování části služeb dle této smlouvy využít poddodavatele.</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w:t>
      </w:r>
      <w:r>
        <w:rPr>
          <w:color w:val="262626"/>
        </w:rPr>
        <w:t>l je povinen chránit a prosazovat oprávněné zájmy objednatele a řídit se jeho pokyny. Dodavatel vykonává služby dle této smlouvy řádně a včas, s náležitou odbornou péčí, dle pokynů a potřeb objednatele a v jeho zájmu. Pokyny objednatele však není dodavatel</w:t>
      </w:r>
      <w:r>
        <w:rPr>
          <w:color w:val="262626"/>
        </w:rPr>
        <w:t xml:space="preserve"> vázán, jsou-li v rozporu s právními předpisy. O tom je dodavatel povinen objednatele přiměřeně poučit.</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Většina běžné komunikace mezi objednatelem a dodavatelem bude probíhat telefonicky nebo prostřednictvím elektronické pošty. Oprávněnou osobou/osobami do</w:t>
      </w:r>
      <w:r>
        <w:rPr>
          <w:color w:val="262626"/>
        </w:rPr>
        <w:t xml:space="preserve">davatele pro řešení požadavků, změn, závad a veškerých dalších nároků dle této smlouvy ze strany objednatele je </w:t>
      </w:r>
      <w:r>
        <w:rPr>
          <w:highlight w:val="red"/>
        </w:rPr>
        <w:t>_______________</w:t>
      </w:r>
      <w:r>
        <w:t xml:space="preserve"> tel.: </w:t>
      </w:r>
      <w:r>
        <w:rPr>
          <w:highlight w:val="red"/>
        </w:rPr>
        <w:t>_____________</w:t>
      </w:r>
      <w:r>
        <w:t xml:space="preserve">, e-mail: </w:t>
      </w:r>
      <w:r>
        <w:rPr>
          <w:highlight w:val="red"/>
        </w:rPr>
        <w:t>__________________</w:t>
      </w:r>
      <w:r>
        <w:t xml:space="preserve">. Dodavatel </w:t>
      </w:r>
      <w:r>
        <w:rPr>
          <w:color w:val="262626"/>
        </w:rPr>
        <w:t>je povinen zajistit, aby tato oprávněná osoba/osoby byla/byly k zasti</w:t>
      </w:r>
      <w:r>
        <w:rPr>
          <w:color w:val="262626"/>
        </w:rPr>
        <w:t xml:space="preserve">žení minimálně v pracovních dnech (pondělí až pátek) nepřetržitě od 8 do 16 h. Oprávněnou osobou objednatele pro řešení požadavků, změn, závad a veškerých dalších nároků dle této smlouvy ze strany objednatele je </w:t>
      </w:r>
      <w:r>
        <w:rPr>
          <w:highlight w:val="yellow"/>
        </w:rPr>
        <w:t>_______________</w:t>
      </w:r>
      <w:r>
        <w:t xml:space="preserve"> tel.: </w:t>
      </w:r>
      <w:r>
        <w:rPr>
          <w:highlight w:val="yellow"/>
        </w:rPr>
        <w:t>_____________</w:t>
      </w:r>
      <w:r>
        <w:t>, e-mail:</w:t>
      </w:r>
      <w:r>
        <w:t xml:space="preserve"> </w:t>
      </w:r>
      <w:r>
        <w:rPr>
          <w:highlight w:val="yellow"/>
        </w:rPr>
        <w:t>__________________</w:t>
      </w:r>
      <w:r>
        <w:t>.</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poskytne kdykoliv na žádost objednatele informace související se službami poskytovanými na základě této smlouvy. Dodavatel též umožní objednateli (případně dalším kompetentním orgánům) provedení kontroly průběhu plnění z pohl</w:t>
      </w:r>
      <w:r>
        <w:rPr>
          <w:color w:val="262626"/>
        </w:rPr>
        <w:t>edu naplňování cílů veřejné zakázky.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Na základě písemné výzvy objednatele je dodavatel povinen poskytnout veškerá požadovaná provozní, evidenční nebo kontrolní data vztahující se k plnění této smlouvy nejpozději do 10 pracovních dnů ode dne doručení takové</w:t>
      </w:r>
      <w:r>
        <w:rPr>
          <w:color w:val="262626"/>
        </w:rPr>
        <w:t xml:space="preserve"> výzvy, není-li mezi smluvními stranami dohodnuto jinak.</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Neposkytnutí dat v této lhůtě se považuje za porušení povinností dodavatele dle této smlouvy.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je povinen objednateli neprodleně oznámit významné skutečnosti, které by měly vliv na plnění té</w:t>
      </w:r>
      <w:r>
        <w:rPr>
          <w:color w:val="262626"/>
        </w:rPr>
        <w:t>to smlouvy. Takovou skutečností je zejména změna majetkoprávního postavení spočívající např. ve vstupu do likvidace, prohlášení konkurzu apod. Dodavatel je povinen objednatele neprodleně informovat o těch okolnostech, které mohou ohrozit řádné a včasné pos</w:t>
      </w:r>
      <w:r>
        <w:rPr>
          <w:color w:val="262626"/>
        </w:rPr>
        <w:t>kytování služeb dle této smlouvy.</w:t>
      </w:r>
    </w:p>
    <w:p w:rsidR="00C95C65" w:rsidRDefault="00F803AF">
      <w:pPr>
        <w:numPr>
          <w:ilvl w:val="1"/>
          <w:numId w:val="1"/>
        </w:numPr>
        <w:pBdr>
          <w:top w:val="nil"/>
          <w:left w:val="nil"/>
          <w:bottom w:val="nil"/>
          <w:right w:val="nil"/>
          <w:between w:val="nil"/>
        </w:pBdr>
        <w:spacing w:before="120"/>
        <w:ind w:left="0" w:hanging="2"/>
        <w:rPr>
          <w:color w:val="262626"/>
          <w:sz w:val="18"/>
          <w:szCs w:val="18"/>
        </w:rPr>
      </w:pPr>
      <w:r>
        <w:rPr>
          <w:color w:val="262626"/>
        </w:rPr>
        <w:t>Dodavatel je povinen předložit objednateli seznam poddodavatelů, pokud jsou mu známi, a to nejpozději do 10 pracovních dnů od doručení oznámení o výběru dodavatele v zadávacím řízení, na jehož základě byla uzavřena tato smlouva, a udržovat ho v aktuální po</w:t>
      </w:r>
      <w:r>
        <w:rPr>
          <w:color w:val="262626"/>
        </w:rPr>
        <w:t>době. Poddodavatelé, kteří nebyli v seznamu uvedeni a zapojí se do plnění veřejné zakázky následně, musí být identifikováni objednateli bez zbytečného odkladu, nejpozději před zahájením plnění veřejné zakázky tímto poddodavatelem. Seznam poddodavatelů musí</w:t>
      </w:r>
      <w:r>
        <w:rPr>
          <w:color w:val="262626"/>
        </w:rPr>
        <w:t xml:space="preserve"> obsahovat jejich identifikační údaje (obchodní firmu/název, sídlo, IČ, případně zápis do veřejného rejstříku) a vymezení části plnění, kterou bude příslušný poddodavatel zajišťovat.</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Práva a povinnosti objednatele</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Objednatel se zavazuje poskytnout dodavate</w:t>
      </w:r>
      <w:r>
        <w:rPr>
          <w:color w:val="262626"/>
        </w:rPr>
        <w:t>li veškerou součinnost potřebnou pro řádné poskytování služeb dle této smlouvy. Objednatel je povinen poskytnout dodavateli, popřípadě dodavatelem zmocněné osobě úplné, pravdivé a včasné informace potřebné k řádnému plnění závazků dodavatele, zejména sezná</w:t>
      </w:r>
      <w:r>
        <w:rPr>
          <w:color w:val="262626"/>
        </w:rPr>
        <w:t>mit dodavatele se všemi známými okolnostmi týkajícími se provádění daných služeb, s informacemi a dokumenty, které objednatel v souvislosti s danými službami má k dispozici, a všemi dalšími relevantními skutečnostmi.</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V případě, že je ke splnění povinnosti </w:t>
      </w:r>
      <w:r>
        <w:rPr>
          <w:color w:val="262626"/>
        </w:rPr>
        <w:t xml:space="preserve">dodavatele nezbytná předchozí součinnost objednatele, nedostane se dodavatel do prodlení s plněním své povinnosti uložené touto smlouvou, pokud trvá prodlení objednatele s poskytnutím této součinnosti. Pokud objednatel neposkytne všechna potřebná data (či </w:t>
      </w:r>
      <w:r>
        <w:rPr>
          <w:color w:val="262626"/>
        </w:rPr>
        <w:t>jinou formu součinnosti), nedostane se dodavatel do prodlení s plněním služby ohledně té části ve vztahu, k níž je objednatel v prodlení, a tudíž objednateli ani nevznikne nárok na smluvní pokutu. O splnění své součinnosti objednatel vyrozumí dodavatele pí</w:t>
      </w:r>
      <w:r>
        <w:rPr>
          <w:color w:val="262626"/>
        </w:rPr>
        <w:t xml:space="preserve">semnou zprávou (postačuje zpráva učiněná formou elektronické pošty dle článku 5.4. této smlouvy).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Objednatel výslovně konstatuje, že si je vědom zejména své povinnosti poskytnout součinnost při zavádění a instalaci RFID čipů, resp. při propojování identif</w:t>
      </w:r>
      <w:r>
        <w:rPr>
          <w:color w:val="262626"/>
        </w:rPr>
        <w:t xml:space="preserve">ikačního systému, která spočívá zejména: </w:t>
      </w:r>
    </w:p>
    <w:p w:rsidR="00C95C65" w:rsidRDefault="00F803AF">
      <w:pPr>
        <w:numPr>
          <w:ilvl w:val="0"/>
          <w:numId w:val="3"/>
        </w:numPr>
        <w:pBdr>
          <w:top w:val="nil"/>
          <w:left w:val="nil"/>
          <w:bottom w:val="nil"/>
          <w:right w:val="nil"/>
          <w:between w:val="nil"/>
        </w:pBdr>
        <w:spacing w:after="160"/>
        <w:ind w:left="0" w:hanging="2"/>
        <w:rPr>
          <w:color w:val="262626"/>
        </w:rPr>
      </w:pPr>
      <w:r>
        <w:rPr>
          <w:color w:val="262626"/>
        </w:rPr>
        <w:lastRenderedPageBreak/>
        <w:t>ve vyhotovení a předání řádně vyplněného seznamu všech odpadních nádob, které jsou označené prostřednictvím RFID čipů dle této smlouvy, který bude obsahovat tato data: město, část obce, ulici, číslo popisné, typ nádoby, druh odpadu, pro který je nádoba urč</w:t>
      </w:r>
      <w:r>
        <w:rPr>
          <w:color w:val="262626"/>
        </w:rPr>
        <w:t xml:space="preserve">ena, k čemuž se objednatel zavazuje do 1 měsíce od podpisu této smlouvy; </w:t>
      </w:r>
    </w:p>
    <w:p w:rsidR="00C95C65" w:rsidRDefault="00F803AF">
      <w:pPr>
        <w:numPr>
          <w:ilvl w:val="0"/>
          <w:numId w:val="3"/>
        </w:numPr>
        <w:pBdr>
          <w:top w:val="nil"/>
          <w:left w:val="nil"/>
          <w:bottom w:val="nil"/>
          <w:right w:val="nil"/>
          <w:between w:val="nil"/>
        </w:pBdr>
        <w:spacing w:after="160"/>
        <w:ind w:left="0" w:hanging="2"/>
        <w:rPr>
          <w:color w:val="262626"/>
        </w:rPr>
      </w:pPr>
      <w:r>
        <w:rPr>
          <w:color w:val="262626"/>
        </w:rPr>
        <w:t>v případě instalace RFID čipu na každou odpadní nádobu, která není RFID čipem označena, přičemž smlouva toto její označení předpokládá, se smluvní strany spolu dohodnou na součinnost</w:t>
      </w:r>
      <w:r>
        <w:rPr>
          <w:color w:val="262626"/>
        </w:rPr>
        <w:t>i nutné k tomuto označení tak, aby k němu došlo nejpozději do 6 měsíců od podpisu této smlouvy;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Objednatel je povinen zajišťovat sjízdnost komunikací (včetně průklestu pro průjezd svozového vozu), ale není povinen zajistit pomoc při zapadnutí vozidla v důs</w:t>
      </w:r>
      <w:r>
        <w:rPr>
          <w:color w:val="262626"/>
        </w:rPr>
        <w:t xml:space="preserve">ledku špatné sjízdnosti vozovky. V případě nezajištění sjízdnosti komunikace se jedná o mimořádnou situaci nezaviněnou dodavatelem, jak je definováno v článku 2.5. písm. B bod (v) této smlouvy.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Objednatel je oprávněn provádět monitoring a kontrolu poskyto</w:t>
      </w:r>
      <w:r>
        <w:rPr>
          <w:color w:val="262626"/>
        </w:rPr>
        <w:t>vaných služeb z pohledu naplňování účelu a předmětu této smlouvy. V rámci monitoringu a kontrol je dodavatel povinen umožnit objednateli přístup ke všem dokladům, informacím a datům souvisejícím s poskytovanými službami dle této smlouvy, a to nejpozději do</w:t>
      </w:r>
      <w:r>
        <w:rPr>
          <w:color w:val="262626"/>
        </w:rPr>
        <w:t xml:space="preserve"> 30 dnů od obdržení písemné žádosti objednatele.</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Odpovědnost za škodu, pojištění</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V případě, že bude způsobena škoda některé ze smluvních stran, bude se postupovat v souladu s platnou právní úpravou.</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odpovídá za škody způsobené občanům nebo jiným subjektům vzniklé při činnosti dodavatele (např. poškození vozidel nebo nemovitých věcí chybným postupem provádění svozu, poškození či zničení nádob na odpad ve vlastnictví objednatele nebo občanů mě</w:t>
      </w:r>
      <w:r>
        <w:rPr>
          <w:color w:val="262626"/>
        </w:rPr>
        <w:t xml:space="preserve">sta, poškození životního prostředí např. únikem ropných látek, mechanické poškození komunikací, včetně kanalizačních vpustí apod.), a nese veškeré náklady spojené s nápravou a úhradou těchto škod.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je povinen mít po celou dobu trvání smluvního vz</w:t>
      </w:r>
      <w:r>
        <w:rPr>
          <w:color w:val="262626"/>
        </w:rPr>
        <w:t>tahu založeného touto smlouvou sjednáno pojištění odpovědnosti za škodu způsobenou třetím osobám při výkonu podnikatelské činnosti s limitem pojistného plnění ve výši nejméně 10.000.000,- Kč. Tuto skutečnost je dodavatel povinen prokázat kdykoliv po dobu t</w:t>
      </w:r>
      <w:r>
        <w:rPr>
          <w:color w:val="262626"/>
        </w:rPr>
        <w:t>rvání této smlouvy k výzvě objednatele tím, že doručí a předá objednateli pojistnou smlouvu (originál či úředně ověřenou kopii) či obdobný doklad o trvání pojištění, a to do 7 kalendářních dnů od doručení této výzvy.</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Ukončení smlouvy</w:t>
      </w:r>
    </w:p>
    <w:p w:rsidR="00C95C65" w:rsidRDefault="00F803AF">
      <w:pPr>
        <w:numPr>
          <w:ilvl w:val="1"/>
          <w:numId w:val="1"/>
        </w:numPr>
        <w:pBdr>
          <w:top w:val="nil"/>
          <w:left w:val="nil"/>
          <w:bottom w:val="nil"/>
          <w:right w:val="nil"/>
          <w:between w:val="nil"/>
        </w:pBdr>
        <w:spacing w:before="120"/>
        <w:rPr>
          <w:color w:val="262626"/>
        </w:rPr>
      </w:pPr>
      <w:r>
        <w:rPr>
          <w:color w:val="262626"/>
        </w:rPr>
        <w:t xml:space="preserve">Objednatel je oprávněn tuto smlouvu kdykoli vypovědět i bez uvedení důvodu, a to s výpovědní lhůtou v délce 6 měsíců, která počne běžet prvního dne kalendářního měsíce následujícího po doručení výpovědi dodavateli. </w:t>
      </w:r>
    </w:p>
    <w:p w:rsidR="00C95C65" w:rsidRDefault="00F803AF">
      <w:pPr>
        <w:numPr>
          <w:ilvl w:val="1"/>
          <w:numId w:val="1"/>
        </w:numPr>
        <w:pBdr>
          <w:top w:val="nil"/>
          <w:left w:val="nil"/>
          <w:bottom w:val="nil"/>
          <w:right w:val="nil"/>
          <w:between w:val="nil"/>
        </w:pBdr>
        <w:spacing w:before="120"/>
        <w:rPr>
          <w:color w:val="262626"/>
        </w:rPr>
      </w:pPr>
      <w:r>
        <w:rPr>
          <w:color w:val="262626"/>
        </w:rPr>
        <w:t>Dodavatel je oprávněn tuto smlouvu vypov</w:t>
      </w:r>
      <w:r>
        <w:rPr>
          <w:color w:val="262626"/>
        </w:rPr>
        <w:t>ědět v případě, že dojde k podstatné a dlouhodobé změně právních nebo provozních podmínek, která objektivně znemožňuje nebo podstatně ztěžuje další plnění této smlouvy a kterou dodavatel nemohl při uzavření smlouvy rozumně předvídat ani ovlivnit. Dodavatel</w:t>
      </w:r>
      <w:r>
        <w:rPr>
          <w:color w:val="262626"/>
        </w:rPr>
        <w:t xml:space="preserve"> je povinen před podáním výpovědi písemně vyzvat objednatele k jednání o řešení vzniklé situace a poskytnout mu přiměřenou lhůtu k dohodě, nejméně 30 dnů ode dne doručení výzvy. Nedojde-li v této lhůtě k dohodě, je dodavatel oprávněn smlouvu vypovědět. Výp</w:t>
      </w:r>
      <w:r>
        <w:rPr>
          <w:color w:val="262626"/>
        </w:rPr>
        <w:t>ověď musí být písemná a odůvodněná; výpovědní lhůta činí 6 měsíců a počíná běžet prvního dne kalendářního měsíce následujícího po doručení výpovědi objednateli.</w:t>
      </w:r>
    </w:p>
    <w:p w:rsidR="00C95C65" w:rsidRDefault="00F803AF">
      <w:pPr>
        <w:numPr>
          <w:ilvl w:val="1"/>
          <w:numId w:val="1"/>
        </w:numPr>
        <w:pBdr>
          <w:top w:val="nil"/>
          <w:left w:val="nil"/>
          <w:bottom w:val="nil"/>
          <w:right w:val="nil"/>
          <w:between w:val="nil"/>
        </w:pBdr>
        <w:spacing w:before="120"/>
        <w:rPr>
          <w:color w:val="262626"/>
        </w:rPr>
      </w:pPr>
      <w:r>
        <w:rPr>
          <w:rFonts w:ascii="Arial" w:eastAsia="Arial" w:hAnsi="Arial" w:cs="Arial"/>
          <w:color w:val="262626"/>
          <w:sz w:val="18"/>
          <w:szCs w:val="18"/>
        </w:rPr>
        <w:t>Smluvní strany se dohodly, že tato smlouva může být ukončena na základě dohody obou smluvních s</w:t>
      </w:r>
      <w:r>
        <w:rPr>
          <w:rFonts w:ascii="Arial" w:eastAsia="Arial" w:hAnsi="Arial" w:cs="Arial"/>
          <w:color w:val="262626"/>
          <w:sz w:val="18"/>
          <w:szCs w:val="18"/>
        </w:rPr>
        <w:t>tran, která musí mít písemnou formu a musí v ní být přesně specifikováno datum, ke kterému k ukončení této smlouvy dochází.</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dohodly, že objednatel je oprávněn tuto smlouvu ukončit odstoupením od smlouvy v případě, že:</w:t>
      </w:r>
    </w:p>
    <w:p w:rsidR="00C95C65" w:rsidRDefault="00F803AF">
      <w:pPr>
        <w:numPr>
          <w:ilvl w:val="0"/>
          <w:numId w:val="6"/>
        </w:numPr>
        <w:pBdr>
          <w:top w:val="nil"/>
          <w:left w:val="nil"/>
          <w:bottom w:val="nil"/>
          <w:right w:val="nil"/>
          <w:between w:val="nil"/>
        </w:pBdr>
        <w:spacing w:after="160"/>
        <w:ind w:left="0" w:hanging="2"/>
        <w:rPr>
          <w:color w:val="262626"/>
        </w:rPr>
      </w:pPr>
      <w:r>
        <w:rPr>
          <w:color w:val="262626"/>
        </w:rPr>
        <w:t xml:space="preserve">dodavatel neprovádí </w:t>
      </w:r>
      <w:r>
        <w:rPr>
          <w:color w:val="262626"/>
        </w:rPr>
        <w:t xml:space="preserve">svoz odpadu v intervalech stanovených touto smlouvou či stanovených následně v souladu s podmínkami této smlouvy, přičemž k takovému pochybení došlo opakovaně ve lhůtě 30 dnů; </w:t>
      </w:r>
    </w:p>
    <w:p w:rsidR="00C95C65" w:rsidRDefault="00F803AF">
      <w:pPr>
        <w:numPr>
          <w:ilvl w:val="0"/>
          <w:numId w:val="6"/>
        </w:numPr>
        <w:pBdr>
          <w:top w:val="nil"/>
          <w:left w:val="nil"/>
          <w:bottom w:val="nil"/>
          <w:right w:val="nil"/>
          <w:between w:val="nil"/>
        </w:pBdr>
        <w:spacing w:after="160"/>
        <w:ind w:left="0" w:hanging="2"/>
        <w:rPr>
          <w:color w:val="262626"/>
        </w:rPr>
      </w:pPr>
      <w:r>
        <w:rPr>
          <w:color w:val="262626"/>
        </w:rPr>
        <w:lastRenderedPageBreak/>
        <w:t>dodavatel neplní své povinnosti vyplývající z článku 1.5 této smlouvy;</w:t>
      </w:r>
    </w:p>
    <w:p w:rsidR="00C95C65" w:rsidRDefault="00F803AF">
      <w:pPr>
        <w:numPr>
          <w:ilvl w:val="0"/>
          <w:numId w:val="6"/>
        </w:numPr>
        <w:pBdr>
          <w:top w:val="nil"/>
          <w:left w:val="nil"/>
          <w:bottom w:val="nil"/>
          <w:right w:val="nil"/>
          <w:between w:val="nil"/>
        </w:pBdr>
        <w:spacing w:after="160"/>
        <w:ind w:left="0" w:hanging="2"/>
        <w:rPr>
          <w:color w:val="262626"/>
        </w:rPr>
      </w:pPr>
      <w:r>
        <w:rPr>
          <w:color w:val="262626"/>
        </w:rPr>
        <w:t>plnění p</w:t>
      </w:r>
      <w:r>
        <w:rPr>
          <w:color w:val="262626"/>
        </w:rPr>
        <w:t xml:space="preserve">oskytovaná dodavatelem opakovaně neodpovídají požadavkům objednatele specifikovaným v této smlouvě či požadavkům platných právních předpisů; </w:t>
      </w:r>
    </w:p>
    <w:p w:rsidR="00C95C65" w:rsidRDefault="00F803AF">
      <w:pPr>
        <w:numPr>
          <w:ilvl w:val="0"/>
          <w:numId w:val="6"/>
        </w:numPr>
        <w:pBdr>
          <w:top w:val="nil"/>
          <w:left w:val="nil"/>
          <w:bottom w:val="nil"/>
          <w:right w:val="nil"/>
          <w:between w:val="nil"/>
        </w:pBdr>
        <w:spacing w:after="160"/>
        <w:ind w:left="0" w:hanging="2"/>
        <w:rPr>
          <w:color w:val="262626"/>
        </w:rPr>
      </w:pPr>
      <w:r>
        <w:rPr>
          <w:color w:val="262626"/>
        </w:rPr>
        <w:t>dodavatel neplní jiné své povinnosti vyplývající z této smlouvy či z platných právních předpisů a dodavatel součas</w:t>
      </w:r>
      <w:r>
        <w:rPr>
          <w:color w:val="262626"/>
        </w:rPr>
        <w:t xml:space="preserve">ně nezjedná nápravu ani po písemné výzvě objednatele se lhůtou k dodatečné nápravě v délce minimálně 14 dnů.  </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Pro vyloučení pochybností smluvní strany sjednávají, že dodavatel je oprávněn odstoupit od smlouvy pouze v případě podstatného porušení povinnost</w:t>
      </w:r>
      <w:r>
        <w:rPr>
          <w:color w:val="262626"/>
        </w:rPr>
        <w:t>í objednatele, a to po předchozí písemné výzvě k nápravě s dodatečnou lhůtou nejméně 15 dnů, není-li z povahy porušení zřejmé, že náprava není možná. Tím nejsou dotčena práva smluvních stran vyplývající z kogentních ustanovení právních předpisů.</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Pro případ</w:t>
      </w:r>
      <w:r>
        <w:rPr>
          <w:color w:val="262626"/>
        </w:rPr>
        <w:t xml:space="preserve"> ukončení této smlouvy jakýmkoli ze způsobů uvedených výše se dodavatel zavazuje předat protokolárně veškeré podklady, evidence či jakékoliv jiné doklady objednateli a dokončit veškeré úkony, u kterých by v souvislosti s prodloužením časového intervalu jej</w:t>
      </w:r>
      <w:r>
        <w:rPr>
          <w:color w:val="262626"/>
        </w:rPr>
        <w:t>ich realizace hrozil reálně objednateli vznik škody.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Pokud bude smlouva účinně ukončena jakýmkoli ze způsobů uvedených výše, je objednatel povinen zaplatit dodavateli sjednanou cenu za skutečně poskytnuté služby do dne zániku smluvního vztahu. Cena bude v takovém případě dodavatelem vyčíslena do 15 dnů ode d</w:t>
      </w:r>
      <w:r>
        <w:rPr>
          <w:color w:val="262626"/>
        </w:rPr>
        <w:t>ne zániku smluvního vztahu a splatná bude na základě doručení faktury vystavené dodavatelem.</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Zajištění závazku</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dohodly, že objednateli vzniká nárok na uhrazení smluvní pokuty za každé zvláště závažné porušení povinnosti dodavatele stanove</w:t>
      </w:r>
      <w:r>
        <w:rPr>
          <w:color w:val="262626"/>
        </w:rPr>
        <w:t xml:space="preserve">né touto smlouvou a to ve výši 10 000 Kč za každý den jeho trvání. Za zvláště závažná porušení této smlouvy jsou považována ta, která jsou důvodem pro odstoupení od smlouvy ze strany objednatele a jsou uvedena v článku 8.4. odst. (i) až (iv) této smlouvy, </w:t>
      </w:r>
      <w:r>
        <w:rPr>
          <w:color w:val="262626"/>
        </w:rPr>
        <w:t>nebo za zvláště závažné porušení povinností dodavatele se pro účely této smlouvy považuje zejména:</w:t>
      </w:r>
    </w:p>
    <w:p w:rsidR="00C95C65" w:rsidRDefault="00F803AF">
      <w:pPr>
        <w:spacing w:after="160"/>
        <w:ind w:left="502" w:firstLine="0"/>
        <w:rPr>
          <w:color w:val="000000"/>
        </w:rPr>
      </w:pPr>
      <w:r>
        <w:rPr>
          <w:color w:val="000000"/>
        </w:rPr>
        <w:t>a) opakované neprovedení svozu v rozporu s harmonogramem,</w:t>
      </w:r>
    </w:p>
    <w:p w:rsidR="00C95C65" w:rsidRDefault="00F803AF">
      <w:pPr>
        <w:spacing w:after="160"/>
        <w:ind w:left="502" w:firstLine="0"/>
        <w:rPr>
          <w:color w:val="000000"/>
        </w:rPr>
      </w:pPr>
      <w:r>
        <w:rPr>
          <w:color w:val="000000"/>
        </w:rPr>
        <w:t>b) systematické neposkytování nebo zkreslování provozních a evidenčních dat,</w:t>
      </w:r>
    </w:p>
    <w:p w:rsidR="00C95C65" w:rsidRDefault="00F803AF">
      <w:pPr>
        <w:spacing w:after="160"/>
        <w:ind w:left="502" w:firstLine="0"/>
        <w:rPr>
          <w:color w:val="000000"/>
        </w:rPr>
      </w:pPr>
      <w:r>
        <w:rPr>
          <w:color w:val="000000"/>
        </w:rPr>
        <w:t>c) předávání odpadu do</w:t>
      </w:r>
      <w:r>
        <w:rPr>
          <w:color w:val="000000"/>
        </w:rPr>
        <w:t xml:space="preserve"> koncového zařízení v rozporu s údaji uvedenými v nabídce,</w:t>
      </w:r>
    </w:p>
    <w:p w:rsidR="00C95C65" w:rsidRDefault="00F803AF">
      <w:pPr>
        <w:spacing w:after="160"/>
        <w:ind w:left="502" w:firstLine="0"/>
        <w:rPr>
          <w:color w:val="000000"/>
        </w:rPr>
      </w:pPr>
      <w:r>
        <w:rPr>
          <w:color w:val="000000"/>
        </w:rPr>
        <w:t>d) porušení povinností při nakládání s odpadem obsahujícím vedlejší produkty živočišného původu,</w:t>
      </w:r>
    </w:p>
    <w:p w:rsidR="00C95C65" w:rsidRDefault="00F803AF">
      <w:pPr>
        <w:spacing w:after="160"/>
        <w:ind w:left="502" w:firstLine="0"/>
        <w:rPr>
          <w:color w:val="000000"/>
        </w:rPr>
      </w:pPr>
      <w:r>
        <w:rPr>
          <w:color w:val="000000"/>
        </w:rPr>
        <w:t>e) opakované porušení povinností, za něž byla dodavateli uložena smluvní pokuta.</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 výjimkou porušení</w:t>
      </w:r>
      <w:r>
        <w:rPr>
          <w:color w:val="262626"/>
        </w:rPr>
        <w:t xml:space="preserve"> povinností dle článku 1.5. této smlouvy má objednatel nárok na uhrazení smluvní pokuty pouze za předpokladu, že dodavatele na porušení takové smluvní povinnosti písemně (postačuje prostřednictvím elektronické pošty) upozornil a tento nezjednal nápravu ani</w:t>
      </w:r>
      <w:r>
        <w:rPr>
          <w:color w:val="262626"/>
        </w:rPr>
        <w:t xml:space="preserve"> v dodatečné lhůtě 5 pracovních dnů.</w:t>
      </w:r>
    </w:p>
    <w:p w:rsidR="00C95C65" w:rsidRDefault="00F803AF">
      <w:pPr>
        <w:numPr>
          <w:ilvl w:val="1"/>
          <w:numId w:val="1"/>
        </w:numPr>
        <w:spacing w:after="160"/>
        <w:rPr>
          <w:color w:val="000000"/>
        </w:rPr>
      </w:pPr>
      <w:r>
        <w:rPr>
          <w:color w:val="000000"/>
        </w:rPr>
        <w:t>Porušení povinností v oblasti poskytování provozních a evidenčních dat</w:t>
      </w:r>
    </w:p>
    <w:p w:rsidR="00C95C65" w:rsidRDefault="00F803AF">
      <w:pPr>
        <w:spacing w:after="160"/>
        <w:ind w:left="502" w:firstLine="0"/>
        <w:rPr>
          <w:color w:val="000000"/>
        </w:rPr>
      </w:pPr>
      <w:r>
        <w:rPr>
          <w:color w:val="000000"/>
        </w:rPr>
        <w:t>V případě, že dodavatel:</w:t>
      </w:r>
    </w:p>
    <w:p w:rsidR="00C95C65" w:rsidRDefault="00F803AF">
      <w:pPr>
        <w:spacing w:after="160"/>
        <w:ind w:left="502" w:firstLine="0"/>
        <w:rPr>
          <w:color w:val="000000"/>
        </w:rPr>
      </w:pPr>
      <w:r>
        <w:rPr>
          <w:color w:val="000000"/>
        </w:rPr>
        <w:t>a) neposkytne provozní nebo evidenční data ve lhůtách stanovených touto smlouvou,</w:t>
      </w:r>
    </w:p>
    <w:p w:rsidR="00C95C65" w:rsidRDefault="00F803AF">
      <w:pPr>
        <w:spacing w:after="160"/>
        <w:ind w:left="502" w:firstLine="0"/>
        <w:rPr>
          <w:color w:val="000000"/>
        </w:rPr>
      </w:pPr>
      <w:r>
        <w:rPr>
          <w:color w:val="000000"/>
        </w:rPr>
        <w:t>b) poskytne data neúplná, nepravdivá nebo</w:t>
      </w:r>
      <w:r>
        <w:rPr>
          <w:color w:val="000000"/>
        </w:rPr>
        <w:t xml:space="preserve"> v technicky nevyužitelné podobě,</w:t>
      </w:r>
    </w:p>
    <w:p w:rsidR="00C95C65" w:rsidRDefault="00F803AF">
      <w:pPr>
        <w:spacing w:after="160"/>
        <w:ind w:left="502" w:firstLine="0"/>
        <w:rPr>
          <w:color w:val="000000"/>
        </w:rPr>
      </w:pPr>
      <w:r>
        <w:rPr>
          <w:color w:val="000000"/>
        </w:rPr>
        <w:t>c) opakovaně poskytuje data v rozporu s jejich strukturou, rozsahem nebo formátem sjednaným touto smlouvou,</w:t>
      </w:r>
    </w:p>
    <w:p w:rsidR="00C95C65" w:rsidRDefault="00F803AF">
      <w:pPr>
        <w:spacing w:after="160"/>
        <w:ind w:left="502" w:firstLine="0"/>
        <w:rPr>
          <w:color w:val="000000"/>
        </w:rPr>
      </w:pPr>
      <w:r>
        <w:rPr>
          <w:color w:val="000000"/>
        </w:rPr>
        <w:t>d) neposkytne data ani v dodatečné lhůtě stanovené objednatelem,</w:t>
      </w:r>
    </w:p>
    <w:p w:rsidR="00C95C65" w:rsidRDefault="00F803AF">
      <w:pPr>
        <w:spacing w:after="160"/>
        <w:ind w:left="502" w:firstLine="0"/>
        <w:rPr>
          <w:color w:val="000000"/>
        </w:rPr>
      </w:pPr>
      <w:r>
        <w:rPr>
          <w:color w:val="000000"/>
        </w:rPr>
        <w:t>je objednatel oprávněn požadovat po dodavateli smluvní pokutu ve výši 5 000 Kč za každý jednotlivý případ porušení a za každý započatý den jeho trvání.</w:t>
      </w:r>
    </w:p>
    <w:p w:rsidR="00C95C65" w:rsidRDefault="00F803AF">
      <w:pPr>
        <w:spacing w:after="160"/>
        <w:ind w:left="502" w:firstLine="0"/>
        <w:rPr>
          <w:color w:val="000000"/>
        </w:rPr>
      </w:pPr>
      <w:r>
        <w:rPr>
          <w:color w:val="000000"/>
        </w:rPr>
        <w:lastRenderedPageBreak/>
        <w:t>Uhrazením smluvní pokuty není dotčeno právo objednatele na náhradu škody v plné výši ani právo objednate</w:t>
      </w:r>
      <w:r>
        <w:rPr>
          <w:color w:val="000000"/>
        </w:rPr>
        <w:t>le uplatnit další smluvní nebo zákonné nároky.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Ujednáním o smluvní pokutě, resp. uhrazením smluvní pokuty není dotčeno právo objednatele domáhat se na dodavateli náhrady škody v plné výši.</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Právo fakturovat smluvní pokutu vzniká objednateli kdykoli poté, co</w:t>
      </w:r>
      <w:r>
        <w:rPr>
          <w:color w:val="262626"/>
        </w:rPr>
        <w:t xml:space="preserve"> nastala skutečnost, s níž je spojen vznik práva na smluvní sankci. Smluvní sankce je splatná bezhotovostně na účet uvedený ve faktuře vystavené objednatelem a v den, který je jako den splatnosti ve faktuře uveden, jinak 30 kalendářních dnů ode dne jejího </w:t>
      </w:r>
      <w:r>
        <w:rPr>
          <w:color w:val="262626"/>
        </w:rPr>
        <w:t>doručení dodavateli.</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dohodly, že dodavateli vzniká v případě prodlení objednatele s úhradou faktury nárok na úhradu úroku z prodlení v zákonné výši.</w:t>
      </w:r>
    </w:p>
    <w:p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Závěrečná ustanovení</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Pokud se některé ustanovení této smlouvy následně ukáže být neplatné</w:t>
      </w:r>
      <w:r>
        <w:rPr>
          <w:color w:val="262626"/>
        </w:rPr>
        <w:t xml:space="preserve"> nebo neúčinné, nemá to vliv na platnost a účinnost ostatních ustanovení této smlouvy, ani na platnost a účinnost této smlouvy jako takové. V takovém případě se smluvní strany zavazují nahradit takové neplatné nebo neúčinné ustanovení ustanovením platným a</w:t>
      </w:r>
      <w:r>
        <w:rPr>
          <w:color w:val="262626"/>
        </w:rPr>
        <w:t xml:space="preserve"> účinným, které bude v maximální možné míře odpovídat úmyslu smluvních stran.</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výslovně dohodly, že tato smlouva a právní vztahy založené touto smlouvou se budou řídit právním řádem České republiky.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zavazují pokusit se vy</w:t>
      </w:r>
      <w:r>
        <w:rPr>
          <w:color w:val="262626"/>
        </w:rPr>
        <w:t>řešit smírčí cestou jakýkoli spor mezi smluvními stranami, sporný nárok nebo spornou otázku vzniklou v souvislosti s touto smlouvou. Nepovede-li tento postup k vyřešení sporu, bude spor předložen k rozhodnutí příslušnému soudu v České republice.</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Není-li v </w:t>
      </w:r>
      <w:r>
        <w:rPr>
          <w:color w:val="262626"/>
        </w:rPr>
        <w:t>této smlouvě stanoveno jinak, mohou smluvní strany změnit nebo doplnit tuto smlouvu pouze formou písemných dodatků, které budou vzestupně číslovány, výslovně prohlášeny za dodatek smlouvy a podepsány oprávněnými zástupci smluvních stran.</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Práva a povinnosti</w:t>
      </w:r>
      <w:r>
        <w:rPr>
          <w:color w:val="262626"/>
        </w:rPr>
        <w:t xml:space="preserve"> z této smlouvy nelze převést ani jinak postoupit na jiný subjekt bez předchozího písemného souhlasu druhé smluvní strany.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Smluvní strany se dohodly, že obsah této smlouvy není předmětem obchodního tajemství, a že ji lze v kompletním znění uveřejnit, a to </w:t>
      </w:r>
      <w:r>
        <w:rPr>
          <w:color w:val="262626"/>
        </w:rPr>
        <w:t>zejména na profilu objednatele, v příslušném elektronickém nástroji a v registru smluv, a to včetně jednotkových ceníkových cen a následně skutečně uhrazené ceny ve smyslu ust. § 219 odst. 3 ZZVZ.</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Dodavatel bere na vědomí, že objednatel je povinný subjekt k poskytování informací podle zákona č. 106/1999 Sb., o svobodném přístupu k informacím, ve znění pozdějších předpisů, a dále že je povinným subjektem dle zákona č. 340/2015 Sb., o registru smluv, </w:t>
      </w:r>
      <w:r>
        <w:rPr>
          <w:color w:val="262626"/>
        </w:rPr>
        <w:t>ve znění pozdějších předpisů, dle kterého je povinen uveřejnit v příslušném registru smluv kompletní vyhotovení této smlouvy včetně jejích příloh, přičemž dodavatel s uvedenými zveřejněními výslovně souhlasí, stejně jako s plněním všech dalších zákonných p</w:t>
      </w:r>
      <w:r>
        <w:rPr>
          <w:color w:val="262626"/>
        </w:rPr>
        <w:t>ovinností k uveřejňování informací týkajících se tohoto smluvního vztahu.</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shodně prohlašují, že si tuto smlouvu před jejím podepsáním přečetly, že byla uzavřena po vzájemném projednání podle jejich pravé a svobodné vůle určitě, vážně a srozu</w:t>
      </w:r>
      <w:r>
        <w:rPr>
          <w:color w:val="262626"/>
        </w:rPr>
        <w:t>mitelně, nikoliv v tísni nebo za nápadně nevýhodných podmínek, a že se dohodly na celém jejím obsahu, což stvrzují svými podpisy.</w:t>
      </w: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Osoby podepisující tuto smlouvu svým podpisem stvrzují platnost svých oprávnění jednat za smluvní strany.</w:t>
      </w:r>
    </w:p>
    <w:p w:rsidR="00C95C65" w:rsidRDefault="00F803AF">
      <w:pPr>
        <w:numPr>
          <w:ilvl w:val="1"/>
          <w:numId w:val="1"/>
        </w:numPr>
        <w:pBdr>
          <w:top w:val="nil"/>
          <w:left w:val="nil"/>
          <w:bottom w:val="nil"/>
          <w:right w:val="nil"/>
          <w:between w:val="nil"/>
        </w:pBdr>
        <w:spacing w:before="120"/>
        <w:ind w:left="0" w:hanging="2"/>
        <w:rPr>
          <w:color w:val="262626"/>
        </w:rPr>
      </w:pPr>
      <w:r>
        <w:rPr>
          <w:color w:val="262626"/>
        </w:rPr>
        <w:t>Smlouva je vyhotoven</w:t>
      </w:r>
      <w:r>
        <w:rPr>
          <w:color w:val="262626"/>
        </w:rPr>
        <w:t>a pouze v elektronické podobě a opatřena elektronickými podpisy obou smluvních stran. Elektronický originál obdrží obě smluvní strany.</w:t>
      </w:r>
    </w:p>
    <w:p w:rsidR="00C95C65" w:rsidRDefault="00C95C65">
      <w:pPr>
        <w:pBdr>
          <w:top w:val="nil"/>
          <w:left w:val="nil"/>
          <w:bottom w:val="nil"/>
          <w:right w:val="nil"/>
          <w:between w:val="nil"/>
        </w:pBdr>
        <w:spacing w:before="120"/>
        <w:rPr>
          <w:color w:val="262626"/>
          <w:highlight w:val="yellow"/>
        </w:rPr>
      </w:pPr>
    </w:p>
    <w:p w:rsidR="00C95C65" w:rsidRDefault="00F803AF">
      <w:pPr>
        <w:numPr>
          <w:ilvl w:val="1"/>
          <w:numId w:val="1"/>
        </w:numPr>
        <w:pBdr>
          <w:top w:val="nil"/>
          <w:left w:val="nil"/>
          <w:bottom w:val="nil"/>
          <w:right w:val="nil"/>
          <w:between w:val="nil"/>
        </w:pBdr>
        <w:spacing w:after="160"/>
        <w:ind w:left="0" w:hanging="2"/>
        <w:rPr>
          <w:color w:val="262626"/>
        </w:rPr>
      </w:pPr>
      <w:r>
        <w:rPr>
          <w:color w:val="262626"/>
        </w:rPr>
        <w:t>Nedílnou součástí této smlouvy jsou následující přílohy:</w:t>
      </w:r>
    </w:p>
    <w:p w:rsidR="00C95C65" w:rsidRDefault="00F803AF">
      <w:pPr>
        <w:numPr>
          <w:ilvl w:val="0"/>
          <w:numId w:val="4"/>
        </w:numPr>
        <w:pBdr>
          <w:top w:val="nil"/>
          <w:left w:val="nil"/>
          <w:bottom w:val="nil"/>
          <w:right w:val="nil"/>
          <w:between w:val="nil"/>
        </w:pBdr>
        <w:ind w:left="0" w:hanging="2"/>
        <w:rPr>
          <w:color w:val="262626"/>
        </w:rPr>
      </w:pPr>
      <w:r>
        <w:rPr>
          <w:color w:val="262626"/>
        </w:rPr>
        <w:t>Ceník služeb</w:t>
      </w:r>
    </w:p>
    <w:p w:rsidR="00C95C65" w:rsidRDefault="00F803AF">
      <w:pPr>
        <w:numPr>
          <w:ilvl w:val="0"/>
          <w:numId w:val="4"/>
        </w:numPr>
        <w:pBdr>
          <w:top w:val="nil"/>
          <w:left w:val="nil"/>
          <w:bottom w:val="nil"/>
          <w:right w:val="nil"/>
          <w:between w:val="nil"/>
        </w:pBdr>
        <w:ind w:left="0" w:hanging="2"/>
        <w:rPr>
          <w:color w:val="262626"/>
        </w:rPr>
      </w:pPr>
      <w:r>
        <w:rPr>
          <w:color w:val="262626"/>
        </w:rPr>
        <w:t>Podrobná výchozí specifikace předmětu plnění</w:t>
      </w:r>
    </w:p>
    <w:p w:rsidR="00C95C65" w:rsidRDefault="00F803AF">
      <w:pPr>
        <w:numPr>
          <w:ilvl w:val="0"/>
          <w:numId w:val="4"/>
        </w:numPr>
        <w:pBdr>
          <w:top w:val="nil"/>
          <w:left w:val="nil"/>
          <w:bottom w:val="nil"/>
          <w:right w:val="nil"/>
          <w:between w:val="nil"/>
        </w:pBdr>
        <w:ind w:left="0" w:hanging="2"/>
        <w:rPr>
          <w:color w:val="262626"/>
        </w:rPr>
      </w:pPr>
      <w:r>
        <w:rPr>
          <w:color w:val="262626"/>
        </w:rPr>
        <w:lastRenderedPageBreak/>
        <w:t>Adresný seznam míst výsypů</w:t>
      </w:r>
    </w:p>
    <w:p w:rsidR="00C95C65" w:rsidRDefault="00F803AF">
      <w:pPr>
        <w:numPr>
          <w:ilvl w:val="0"/>
          <w:numId w:val="4"/>
        </w:numPr>
        <w:pBdr>
          <w:top w:val="nil"/>
          <w:left w:val="nil"/>
          <w:bottom w:val="nil"/>
          <w:right w:val="nil"/>
          <w:between w:val="nil"/>
        </w:pBdr>
        <w:ind w:left="0" w:hanging="2"/>
        <w:rPr>
          <w:color w:val="262626"/>
        </w:rPr>
      </w:pPr>
      <w:r>
        <w:rPr>
          <w:color w:val="262626"/>
        </w:rPr>
        <w:t>Seznam hůře dostupných míst</w:t>
      </w:r>
    </w:p>
    <w:p w:rsidR="00C95C65" w:rsidRDefault="00C95C65">
      <w:pPr>
        <w:pBdr>
          <w:top w:val="nil"/>
          <w:left w:val="nil"/>
          <w:bottom w:val="nil"/>
          <w:right w:val="nil"/>
          <w:between w:val="nil"/>
        </w:pBdr>
        <w:tabs>
          <w:tab w:val="left" w:pos="4680"/>
        </w:tabs>
        <w:ind w:hanging="2"/>
        <w:rPr>
          <w:color w:val="000000"/>
        </w:rPr>
      </w:pPr>
    </w:p>
    <w:p w:rsidR="00C95C65" w:rsidRDefault="00C95C65">
      <w:pPr>
        <w:pBdr>
          <w:top w:val="nil"/>
          <w:left w:val="nil"/>
          <w:bottom w:val="nil"/>
          <w:right w:val="nil"/>
          <w:between w:val="nil"/>
        </w:pBdr>
        <w:tabs>
          <w:tab w:val="left" w:pos="4680"/>
        </w:tabs>
        <w:ind w:hanging="2"/>
        <w:rPr>
          <w:color w:val="000000"/>
        </w:rPr>
      </w:pPr>
    </w:p>
    <w:p w:rsidR="00C95C65" w:rsidRDefault="00C95C65">
      <w:pPr>
        <w:pBdr>
          <w:top w:val="nil"/>
          <w:left w:val="nil"/>
          <w:bottom w:val="nil"/>
          <w:right w:val="nil"/>
          <w:between w:val="nil"/>
        </w:pBdr>
        <w:tabs>
          <w:tab w:val="left" w:pos="540"/>
          <w:tab w:val="left" w:pos="0"/>
          <w:tab w:val="left" w:pos="4680"/>
        </w:tabs>
        <w:ind w:hanging="2"/>
        <w:rPr>
          <w:color w:val="000000"/>
        </w:rPr>
      </w:pPr>
    </w:p>
    <w:p w:rsidR="00C95C65" w:rsidRDefault="00C95C65">
      <w:pPr>
        <w:ind w:firstLine="0"/>
      </w:pPr>
    </w:p>
    <w:tbl>
      <w:tblPr>
        <w:tblStyle w:val="a0"/>
        <w:tblW w:w="9212" w:type="dxa"/>
        <w:tblInd w:w="-108" w:type="dxa"/>
        <w:tblLayout w:type="fixed"/>
        <w:tblLook w:val="0000" w:firstRow="0" w:lastRow="0" w:firstColumn="0" w:lastColumn="0" w:noHBand="0" w:noVBand="0"/>
      </w:tblPr>
      <w:tblGrid>
        <w:gridCol w:w="4606"/>
        <w:gridCol w:w="4606"/>
      </w:tblGrid>
      <w:tr w:rsidR="00C95C65">
        <w:trPr>
          <w:trHeight w:val="66"/>
        </w:trPr>
        <w:tc>
          <w:tcPr>
            <w:tcW w:w="4606" w:type="dxa"/>
          </w:tcPr>
          <w:p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V …………… dne ……………</w:t>
            </w:r>
          </w:p>
          <w:p w:rsidR="00C95C65" w:rsidRDefault="00C95C65">
            <w:pPr>
              <w:pBdr>
                <w:top w:val="nil"/>
                <w:left w:val="nil"/>
                <w:bottom w:val="nil"/>
                <w:right w:val="nil"/>
                <w:between w:val="nil"/>
              </w:pBdr>
              <w:tabs>
                <w:tab w:val="left" w:pos="540"/>
                <w:tab w:val="left" w:pos="0"/>
                <w:tab w:val="left" w:pos="4680"/>
              </w:tabs>
              <w:ind w:hanging="2"/>
              <w:rPr>
                <w:color w:val="000000"/>
              </w:rPr>
            </w:pPr>
          </w:p>
          <w:p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Za objednatele</w:t>
            </w:r>
          </w:p>
          <w:p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Město Tábor</w:t>
            </w:r>
          </w:p>
          <w:p w:rsidR="00C95C65" w:rsidRDefault="00C95C65">
            <w:pPr>
              <w:pBdr>
                <w:top w:val="nil"/>
                <w:left w:val="nil"/>
                <w:bottom w:val="nil"/>
                <w:right w:val="nil"/>
                <w:between w:val="nil"/>
              </w:pBdr>
              <w:tabs>
                <w:tab w:val="left" w:pos="540"/>
                <w:tab w:val="left" w:pos="0"/>
                <w:tab w:val="left" w:pos="4680"/>
              </w:tabs>
              <w:ind w:hanging="2"/>
              <w:rPr>
                <w:color w:val="000000"/>
              </w:rPr>
            </w:pPr>
          </w:p>
          <w:p w:rsidR="00C95C65" w:rsidRDefault="00C95C65">
            <w:pPr>
              <w:pBdr>
                <w:top w:val="nil"/>
                <w:left w:val="nil"/>
                <w:bottom w:val="nil"/>
                <w:right w:val="nil"/>
                <w:between w:val="nil"/>
              </w:pBdr>
              <w:tabs>
                <w:tab w:val="left" w:pos="540"/>
                <w:tab w:val="left" w:pos="0"/>
                <w:tab w:val="left" w:pos="4680"/>
              </w:tabs>
              <w:ind w:hanging="2"/>
              <w:rPr>
                <w:color w:val="000000"/>
              </w:rPr>
            </w:pPr>
          </w:p>
          <w:p w:rsidR="00C95C65" w:rsidRDefault="00C95C65">
            <w:pPr>
              <w:pBdr>
                <w:top w:val="nil"/>
                <w:left w:val="nil"/>
                <w:bottom w:val="nil"/>
                <w:right w:val="nil"/>
                <w:between w:val="nil"/>
              </w:pBdr>
              <w:tabs>
                <w:tab w:val="left" w:pos="540"/>
                <w:tab w:val="left" w:pos="0"/>
                <w:tab w:val="left" w:pos="4680"/>
              </w:tabs>
              <w:ind w:hanging="2"/>
              <w:rPr>
                <w:color w:val="000000"/>
              </w:rPr>
            </w:pPr>
          </w:p>
          <w:p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w:t>
            </w:r>
          </w:p>
          <w:p w:rsidR="00C95C65" w:rsidRDefault="00F803AF">
            <w:pPr>
              <w:pBdr>
                <w:top w:val="nil"/>
                <w:left w:val="nil"/>
                <w:bottom w:val="nil"/>
                <w:right w:val="nil"/>
                <w:between w:val="nil"/>
              </w:pBdr>
              <w:tabs>
                <w:tab w:val="left" w:pos="540"/>
                <w:tab w:val="left" w:pos="0"/>
                <w:tab w:val="left" w:pos="4680"/>
              </w:tabs>
              <w:ind w:firstLine="0"/>
              <w:rPr>
                <w:color w:val="000000"/>
              </w:rPr>
            </w:pPr>
            <w:r>
              <w:rPr>
                <w:color w:val="000000"/>
              </w:rPr>
              <w:t>Bc. Radoslav Kacerovský, DiS., místostarosta města</w:t>
            </w:r>
          </w:p>
        </w:tc>
        <w:tc>
          <w:tcPr>
            <w:tcW w:w="4606" w:type="dxa"/>
          </w:tcPr>
          <w:p w:rsidR="00C95C65" w:rsidRDefault="00F803AF">
            <w:pPr>
              <w:pBdr>
                <w:top w:val="nil"/>
                <w:left w:val="nil"/>
                <w:bottom w:val="nil"/>
                <w:right w:val="nil"/>
                <w:between w:val="nil"/>
              </w:pBdr>
              <w:tabs>
                <w:tab w:val="left" w:pos="540"/>
                <w:tab w:val="left" w:pos="0"/>
                <w:tab w:val="left" w:pos="4680"/>
              </w:tabs>
              <w:ind w:hanging="2"/>
              <w:rPr>
                <w:color w:val="262626"/>
              </w:rPr>
            </w:pPr>
            <w:r>
              <w:rPr>
                <w:color w:val="000000"/>
              </w:rPr>
              <w:t>V …………… dne ……………</w:t>
            </w:r>
          </w:p>
          <w:p w:rsidR="00C95C65" w:rsidRDefault="00C95C65">
            <w:pPr>
              <w:pBdr>
                <w:top w:val="nil"/>
                <w:left w:val="nil"/>
                <w:bottom w:val="nil"/>
                <w:right w:val="nil"/>
                <w:between w:val="nil"/>
              </w:pBdr>
              <w:tabs>
                <w:tab w:val="left" w:pos="540"/>
                <w:tab w:val="left" w:pos="0"/>
                <w:tab w:val="left" w:pos="4680"/>
              </w:tabs>
              <w:ind w:hanging="2"/>
              <w:rPr>
                <w:color w:val="262626"/>
              </w:rPr>
            </w:pPr>
          </w:p>
          <w:p w:rsidR="00C95C65" w:rsidRDefault="00F803AF">
            <w:pPr>
              <w:pBdr>
                <w:top w:val="nil"/>
                <w:left w:val="nil"/>
                <w:bottom w:val="nil"/>
                <w:right w:val="nil"/>
                <w:between w:val="nil"/>
              </w:pBdr>
              <w:tabs>
                <w:tab w:val="left" w:pos="540"/>
                <w:tab w:val="left" w:pos="0"/>
                <w:tab w:val="left" w:pos="4680"/>
              </w:tabs>
              <w:ind w:hanging="2"/>
              <w:rPr>
                <w:color w:val="262626"/>
              </w:rPr>
            </w:pPr>
            <w:r>
              <w:rPr>
                <w:color w:val="262626"/>
              </w:rPr>
              <w:t>Za dodavatele:</w:t>
            </w:r>
          </w:p>
          <w:p w:rsidR="00C95C65" w:rsidRDefault="00F803AF">
            <w:pPr>
              <w:pBdr>
                <w:top w:val="nil"/>
                <w:left w:val="nil"/>
                <w:bottom w:val="nil"/>
                <w:right w:val="nil"/>
                <w:between w:val="nil"/>
              </w:pBdr>
              <w:tabs>
                <w:tab w:val="left" w:pos="540"/>
                <w:tab w:val="left" w:pos="0"/>
                <w:tab w:val="left" w:pos="4680"/>
              </w:tabs>
              <w:ind w:hanging="2"/>
              <w:rPr>
                <w:color w:val="262626"/>
              </w:rPr>
            </w:pPr>
            <w:r>
              <w:rPr>
                <w:color w:val="262626"/>
              </w:rPr>
              <w:t xml:space="preserve">………….……., </w:t>
            </w:r>
            <w:r>
              <w:rPr>
                <w:i/>
                <w:iCs/>
                <w:color w:val="262626"/>
              </w:rPr>
              <w:t>(název)</w:t>
            </w:r>
          </w:p>
          <w:p w:rsidR="00C95C65" w:rsidRDefault="00C95C65">
            <w:pPr>
              <w:pBdr>
                <w:top w:val="nil"/>
                <w:left w:val="nil"/>
                <w:bottom w:val="nil"/>
                <w:right w:val="nil"/>
                <w:between w:val="nil"/>
              </w:pBdr>
              <w:tabs>
                <w:tab w:val="left" w:pos="540"/>
                <w:tab w:val="left" w:pos="0"/>
                <w:tab w:val="left" w:pos="4680"/>
              </w:tabs>
              <w:ind w:hanging="2"/>
              <w:rPr>
                <w:color w:val="262626"/>
              </w:rPr>
            </w:pPr>
          </w:p>
          <w:p w:rsidR="00C95C65" w:rsidRDefault="00C95C65">
            <w:pPr>
              <w:pBdr>
                <w:top w:val="nil"/>
                <w:left w:val="nil"/>
                <w:bottom w:val="nil"/>
                <w:right w:val="nil"/>
                <w:between w:val="nil"/>
              </w:pBdr>
              <w:tabs>
                <w:tab w:val="left" w:pos="540"/>
                <w:tab w:val="left" w:pos="0"/>
                <w:tab w:val="left" w:pos="4680"/>
              </w:tabs>
              <w:ind w:hanging="2"/>
              <w:rPr>
                <w:color w:val="262626"/>
              </w:rPr>
            </w:pPr>
          </w:p>
          <w:p w:rsidR="00C95C65" w:rsidRDefault="00C95C65">
            <w:pPr>
              <w:pBdr>
                <w:top w:val="nil"/>
                <w:left w:val="nil"/>
                <w:bottom w:val="nil"/>
                <w:right w:val="nil"/>
                <w:between w:val="nil"/>
              </w:pBdr>
              <w:tabs>
                <w:tab w:val="left" w:pos="540"/>
                <w:tab w:val="left" w:pos="0"/>
                <w:tab w:val="left" w:pos="4680"/>
              </w:tabs>
              <w:ind w:hanging="2"/>
              <w:rPr>
                <w:color w:val="262626"/>
              </w:rPr>
            </w:pPr>
          </w:p>
          <w:p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w:t>
            </w:r>
          </w:p>
          <w:p w:rsidR="00C95C65" w:rsidRDefault="00F803AF">
            <w:pPr>
              <w:pBdr>
                <w:top w:val="nil"/>
                <w:left w:val="nil"/>
                <w:bottom w:val="nil"/>
                <w:right w:val="nil"/>
                <w:between w:val="nil"/>
              </w:pBdr>
              <w:tabs>
                <w:tab w:val="left" w:pos="540"/>
                <w:tab w:val="left" w:pos="0"/>
                <w:tab w:val="left" w:pos="4680"/>
              </w:tabs>
              <w:ind w:hanging="2"/>
              <w:rPr>
                <w:color w:val="262626"/>
              </w:rPr>
            </w:pPr>
            <w:r>
              <w:rPr>
                <w:color w:val="262626"/>
              </w:rPr>
              <w:t xml:space="preserve">………….……., </w:t>
            </w:r>
            <w:r>
              <w:rPr>
                <w:i/>
                <w:iCs/>
                <w:color w:val="262626"/>
              </w:rPr>
              <w:t>(jméno)</w:t>
            </w:r>
          </w:p>
          <w:p w:rsidR="00C95C65" w:rsidRDefault="00F803AF">
            <w:pPr>
              <w:pBdr>
                <w:top w:val="nil"/>
                <w:left w:val="nil"/>
                <w:bottom w:val="nil"/>
                <w:right w:val="nil"/>
                <w:between w:val="nil"/>
              </w:pBdr>
              <w:tabs>
                <w:tab w:val="left" w:pos="540"/>
                <w:tab w:val="left" w:pos="0"/>
                <w:tab w:val="left" w:pos="4680"/>
              </w:tabs>
              <w:ind w:hanging="2"/>
              <w:rPr>
                <w:color w:val="000000"/>
              </w:rPr>
            </w:pPr>
            <w:r>
              <w:rPr>
                <w:color w:val="262626"/>
              </w:rPr>
              <w:t xml:space="preserve">………….……., </w:t>
            </w:r>
            <w:r>
              <w:rPr>
                <w:i/>
                <w:iCs/>
                <w:color w:val="262626"/>
              </w:rPr>
              <w:t>(funkce)</w:t>
            </w:r>
          </w:p>
        </w:tc>
      </w:tr>
    </w:tbl>
    <w:p w:rsidR="00C95C65" w:rsidRDefault="00C95C65">
      <w:pPr>
        <w:pBdr>
          <w:top w:val="nil"/>
          <w:left w:val="nil"/>
          <w:bottom w:val="nil"/>
          <w:right w:val="nil"/>
          <w:between w:val="nil"/>
        </w:pBdr>
        <w:tabs>
          <w:tab w:val="left" w:pos="540"/>
          <w:tab w:val="left" w:pos="0"/>
          <w:tab w:val="left" w:pos="4680"/>
        </w:tabs>
        <w:ind w:firstLine="0"/>
        <w:rPr>
          <w:color w:val="000000"/>
        </w:rPr>
      </w:pPr>
    </w:p>
    <w:sectPr w:rsidR="00C95C65">
      <w:headerReference w:type="even" r:id="rId9"/>
      <w:headerReference w:type="default" r:id="rId10"/>
      <w:footerReference w:type="even" r:id="rId11"/>
      <w:footerReference w:type="default" r:id="rId12"/>
      <w:headerReference w:type="first" r:id="rId13"/>
      <w:footerReference w:type="first" r:id="rId14"/>
      <w:pgSz w:w="11906" w:h="16838"/>
      <w:pgMar w:top="1249" w:right="1418" w:bottom="1418" w:left="1418" w:header="709" w:footer="709"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3AF" w:rsidRDefault="00F803AF">
      <w:r>
        <w:separator/>
      </w:r>
    </w:p>
  </w:endnote>
  <w:endnote w:type="continuationSeparator" w:id="0">
    <w:p w:rsidR="00F803AF" w:rsidRDefault="00F80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D25CD8DE-925E-4BEB-9368-DD2C030CF345}"/>
    <w:embedBold r:id="rId2" w:fontKey="{1F0EDB1F-72E9-44F1-A913-92341945E170}"/>
    <w:embedItalic r:id="rId3" w:fontKey="{D2802370-C0F7-409A-853A-C4031A284ED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4" w:fontKey="{DEBF3415-608A-40A5-953E-242289FE98D7}"/>
  </w:font>
  <w:font w:name="Georgia">
    <w:panose1 w:val="02040502050405020303"/>
    <w:charset w:val="EE"/>
    <w:family w:val="roman"/>
    <w:pitch w:val="variable"/>
    <w:sig w:usb0="00000287" w:usb1="00000000" w:usb2="00000000" w:usb3="00000000" w:csb0="0000009F" w:csb1="00000000"/>
    <w:embedRegular r:id="rId5" w:fontKey="{090160B0-7033-4230-9FA3-36F96DBFF012}"/>
    <w:embedBold r:id="rId6" w:fontKey="{DE13142F-1BA2-45BA-8590-9612CD14FC3C}"/>
    <w:embedItalic r:id="rId7" w:fontKey="{7AF22837-FD98-4296-BD9A-A755D45E7E81}"/>
  </w:font>
  <w:font w:name="Times New Roman Bold">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embedRegular r:id="rId8" w:fontKey="{45B4C8A5-995A-4B08-B6D6-8706277EAF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C65" w:rsidRDefault="00C95C65">
    <w:pPr>
      <w:pBdr>
        <w:top w:val="nil"/>
        <w:left w:val="nil"/>
        <w:bottom w:val="nil"/>
        <w:right w:val="nil"/>
        <w:between w:val="nil"/>
      </w:pBdr>
      <w:tabs>
        <w:tab w:val="center" w:pos="4536"/>
        <w:tab w:val="right" w:pos="9072"/>
      </w:tabs>
      <w:ind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C65" w:rsidRDefault="00C95C65">
    <w:pPr>
      <w:pBdr>
        <w:top w:val="nil"/>
        <w:left w:val="nil"/>
        <w:bottom w:val="single" w:sz="12" w:space="1" w:color="000000"/>
        <w:right w:val="nil"/>
        <w:between w:val="nil"/>
      </w:pBdr>
      <w:tabs>
        <w:tab w:val="center" w:pos="4536"/>
        <w:tab w:val="right" w:pos="9072"/>
        <w:tab w:val="right" w:pos="9070"/>
      </w:tabs>
      <w:ind w:hanging="2"/>
      <w:rPr>
        <w:color w:val="000000"/>
      </w:rPr>
    </w:pPr>
  </w:p>
  <w:p w:rsidR="00C95C65" w:rsidRDefault="00F803AF">
    <w:pPr>
      <w:pBdr>
        <w:top w:val="nil"/>
        <w:left w:val="nil"/>
        <w:bottom w:val="nil"/>
        <w:right w:val="nil"/>
        <w:between w:val="nil"/>
      </w:pBdr>
      <w:tabs>
        <w:tab w:val="center" w:pos="4536"/>
        <w:tab w:val="right" w:pos="9072"/>
        <w:tab w:val="right" w:pos="9070"/>
      </w:tabs>
      <w:ind w:hanging="2"/>
      <w:jc w:val="right"/>
      <w:rPr>
        <w:rFonts w:ascii="Arial" w:eastAsia="Arial" w:hAnsi="Arial" w:cs="Arial"/>
        <w:color w:val="000000"/>
        <w:sz w:val="16"/>
        <w:szCs w:val="16"/>
      </w:rPr>
    </w:pPr>
    <w:r>
      <w:rPr>
        <w:rFonts w:ascii="Arial" w:eastAsia="Arial" w:hAnsi="Arial" w:cs="Arial"/>
        <w:i/>
        <w:iCs/>
        <w:color w:val="000000"/>
        <w:sz w:val="16"/>
        <w:szCs w:val="16"/>
      </w:rPr>
      <w:t xml:space="preserve">Strana </w:t>
    </w:r>
    <w:r>
      <w:rPr>
        <w:rFonts w:ascii="Arial" w:eastAsia="Arial" w:hAnsi="Arial" w:cs="Arial"/>
        <w:i/>
        <w:iCs/>
        <w:color w:val="000000"/>
        <w:sz w:val="16"/>
        <w:szCs w:val="16"/>
      </w:rPr>
      <w:fldChar w:fldCharType="begin"/>
    </w:r>
    <w:r>
      <w:rPr>
        <w:rFonts w:ascii="Arial" w:eastAsia="Arial" w:hAnsi="Arial" w:cs="Arial"/>
        <w:i/>
        <w:iCs/>
        <w:color w:val="000000"/>
        <w:sz w:val="16"/>
        <w:szCs w:val="16"/>
      </w:rPr>
      <w:instrText>PAGE</w:instrText>
    </w:r>
    <w:r w:rsidR="00291FDF">
      <w:rPr>
        <w:rFonts w:ascii="Arial" w:eastAsia="Arial" w:hAnsi="Arial" w:cs="Arial"/>
        <w:i/>
        <w:iCs/>
        <w:color w:val="000000"/>
        <w:sz w:val="16"/>
        <w:szCs w:val="16"/>
      </w:rPr>
      <w:fldChar w:fldCharType="separate"/>
    </w:r>
    <w:r w:rsidR="00291FDF">
      <w:rPr>
        <w:rFonts w:ascii="Arial" w:eastAsia="Arial" w:hAnsi="Arial" w:cs="Arial"/>
        <w:i/>
        <w:iCs/>
        <w:noProof/>
        <w:color w:val="000000"/>
        <w:sz w:val="16"/>
        <w:szCs w:val="16"/>
      </w:rPr>
      <w:t>1</w:t>
    </w:r>
    <w:r>
      <w:rPr>
        <w:rFonts w:ascii="Arial" w:eastAsia="Arial" w:hAnsi="Arial" w:cs="Arial"/>
        <w:i/>
        <w:iCs/>
        <w:color w:val="000000"/>
        <w:sz w:val="16"/>
        <w:szCs w:val="16"/>
      </w:rPr>
      <w:fldChar w:fldCharType="end"/>
    </w:r>
    <w:r>
      <w:rPr>
        <w:rFonts w:ascii="Arial" w:eastAsia="Arial" w:hAnsi="Arial" w:cs="Arial"/>
        <w:i/>
        <w:iCs/>
        <w:color w:val="000000"/>
        <w:sz w:val="16"/>
        <w:szCs w:val="16"/>
      </w:rPr>
      <w:t xml:space="preserve"> z </w:t>
    </w:r>
    <w:r>
      <w:rPr>
        <w:rFonts w:ascii="Arial" w:eastAsia="Arial" w:hAnsi="Arial" w:cs="Arial"/>
        <w:i/>
        <w:iCs/>
        <w:color w:val="000000"/>
        <w:sz w:val="16"/>
        <w:szCs w:val="16"/>
      </w:rPr>
      <w:fldChar w:fldCharType="begin"/>
    </w:r>
    <w:r>
      <w:rPr>
        <w:rFonts w:ascii="Arial" w:eastAsia="Arial" w:hAnsi="Arial" w:cs="Arial"/>
        <w:i/>
        <w:iCs/>
        <w:color w:val="000000"/>
        <w:sz w:val="16"/>
        <w:szCs w:val="16"/>
      </w:rPr>
      <w:instrText>NUMPAGES</w:instrText>
    </w:r>
    <w:r w:rsidR="00291FDF">
      <w:rPr>
        <w:rFonts w:ascii="Arial" w:eastAsia="Arial" w:hAnsi="Arial" w:cs="Arial"/>
        <w:i/>
        <w:iCs/>
        <w:color w:val="000000"/>
        <w:sz w:val="16"/>
        <w:szCs w:val="16"/>
      </w:rPr>
      <w:fldChar w:fldCharType="separate"/>
    </w:r>
    <w:r w:rsidR="00291FDF">
      <w:rPr>
        <w:rFonts w:ascii="Arial" w:eastAsia="Arial" w:hAnsi="Arial" w:cs="Arial"/>
        <w:i/>
        <w:iCs/>
        <w:noProof/>
        <w:color w:val="000000"/>
        <w:sz w:val="16"/>
        <w:szCs w:val="16"/>
      </w:rPr>
      <w:t>12</w:t>
    </w:r>
    <w:r>
      <w:rPr>
        <w:rFonts w:ascii="Arial" w:eastAsia="Arial" w:hAnsi="Arial" w:cs="Arial"/>
        <w:i/>
        <w:iCs/>
        <w:color w:val="00000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C65" w:rsidRDefault="00C95C65">
    <w:pPr>
      <w:pBdr>
        <w:top w:val="nil"/>
        <w:left w:val="nil"/>
        <w:bottom w:val="nil"/>
        <w:right w:val="nil"/>
        <w:between w:val="nil"/>
      </w:pBdr>
      <w:tabs>
        <w:tab w:val="center" w:pos="4536"/>
        <w:tab w:val="right" w:pos="9072"/>
      </w:tabs>
      <w:ind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3AF" w:rsidRDefault="00F803AF">
      <w:r>
        <w:separator/>
      </w:r>
    </w:p>
  </w:footnote>
  <w:footnote w:type="continuationSeparator" w:id="0">
    <w:p w:rsidR="00F803AF" w:rsidRDefault="00F803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C65" w:rsidRDefault="00C95C65">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C65" w:rsidRDefault="00C95C65">
    <w:pPr>
      <w:pBdr>
        <w:top w:val="nil"/>
        <w:left w:val="nil"/>
        <w:bottom w:val="single" w:sz="12" w:space="1" w:color="000000"/>
        <w:right w:val="nil"/>
        <w:between w:val="nil"/>
      </w:pBdr>
      <w:ind w:hanging="2"/>
      <w:rPr>
        <w:color w:val="000000"/>
      </w:rPr>
    </w:pPr>
  </w:p>
  <w:p w:rsidR="00C95C65" w:rsidRDefault="00F803AF">
    <w:pPr>
      <w:pBdr>
        <w:top w:val="nil"/>
        <w:left w:val="nil"/>
        <w:bottom w:val="nil"/>
        <w:right w:val="nil"/>
        <w:between w:val="nil"/>
      </w:pBdr>
      <w:ind w:hanging="2"/>
      <w:rPr>
        <w:color w:val="000000"/>
      </w:rPr>
    </w:pPr>
    <w:r>
      <w:rPr>
        <w:color w:val="000000"/>
      </w:rPr>
      <w:t xml:space="preserve">                 </w:t>
    </w:r>
  </w:p>
  <w:p w:rsidR="00C95C65" w:rsidRDefault="00F803AF">
    <w:pPr>
      <w:pBdr>
        <w:top w:val="nil"/>
        <w:left w:val="nil"/>
        <w:bottom w:val="nil"/>
        <w:right w:val="nil"/>
        <w:between w:val="nil"/>
      </w:pBdr>
      <w:ind w:hanging="2"/>
      <w:rPr>
        <w:color w:val="000000"/>
      </w:rPr>
    </w:pPr>
    <w:r>
      <w:rPr>
        <w:color w:val="00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C65" w:rsidRDefault="00C95C65">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16287"/>
    <w:multiLevelType w:val="multilevel"/>
    <w:tmpl w:val="5CFC9BB6"/>
    <w:lvl w:ilvl="0">
      <w:start w:val="1"/>
      <w:numFmt w:val="lowerRoman"/>
      <w:pStyle w:val="Nadpis11"/>
      <w:lvlText w:val="(%1)"/>
      <w:lvlJc w:val="left"/>
      <w:pPr>
        <w:ind w:left="1287" w:hanging="720"/>
      </w:pPr>
      <w:rPr>
        <w:vertAlign w:val="baseline"/>
      </w:rPr>
    </w:lvl>
    <w:lvl w:ilvl="1">
      <w:start w:val="1"/>
      <w:numFmt w:val="lowerLetter"/>
      <w:pStyle w:val="Nadpis21"/>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
    <w:nsid w:val="0F7C350D"/>
    <w:multiLevelType w:val="multilevel"/>
    <w:tmpl w:val="FBEE9ACE"/>
    <w:lvl w:ilvl="0">
      <w:start w:val="1"/>
      <w:numFmt w:val="upperLetter"/>
      <w:lvlText w:val="%1."/>
      <w:lvlJc w:val="left"/>
      <w:pPr>
        <w:ind w:left="927" w:hanging="360"/>
      </w:pPr>
      <w:rPr>
        <w:b/>
        <w:bCs/>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nsid w:val="10B81CA2"/>
    <w:multiLevelType w:val="multilevel"/>
    <w:tmpl w:val="4614BABE"/>
    <w:lvl w:ilvl="0">
      <w:start w:val="1"/>
      <w:numFmt w:val="lowerLetter"/>
      <w:lvlText w:val="%1)"/>
      <w:lvlJc w:val="left"/>
      <w:pPr>
        <w:ind w:left="1778" w:hanging="360"/>
      </w:pPr>
      <w:rPr>
        <w:vertAlign w:val="baseline"/>
      </w:rPr>
    </w:lvl>
    <w:lvl w:ilvl="1">
      <w:start w:val="1"/>
      <w:numFmt w:val="lowerLetter"/>
      <w:lvlText w:val="%2."/>
      <w:lvlJc w:val="left"/>
      <w:pPr>
        <w:ind w:left="2498" w:hanging="360"/>
      </w:pPr>
      <w:rPr>
        <w:vertAlign w:val="baseline"/>
      </w:rPr>
    </w:lvl>
    <w:lvl w:ilvl="2">
      <w:start w:val="1"/>
      <w:numFmt w:val="lowerRoman"/>
      <w:lvlText w:val="%3."/>
      <w:lvlJc w:val="right"/>
      <w:pPr>
        <w:ind w:left="3218" w:hanging="180"/>
      </w:pPr>
      <w:rPr>
        <w:vertAlign w:val="baseline"/>
      </w:rPr>
    </w:lvl>
    <w:lvl w:ilvl="3">
      <w:start w:val="1"/>
      <w:numFmt w:val="decimal"/>
      <w:lvlText w:val="%4."/>
      <w:lvlJc w:val="left"/>
      <w:pPr>
        <w:ind w:left="3938" w:hanging="360"/>
      </w:pPr>
      <w:rPr>
        <w:vertAlign w:val="baseline"/>
      </w:rPr>
    </w:lvl>
    <w:lvl w:ilvl="4">
      <w:start w:val="1"/>
      <w:numFmt w:val="lowerLetter"/>
      <w:lvlText w:val="%5."/>
      <w:lvlJc w:val="left"/>
      <w:pPr>
        <w:ind w:left="4658" w:hanging="360"/>
      </w:pPr>
      <w:rPr>
        <w:vertAlign w:val="baseline"/>
      </w:rPr>
    </w:lvl>
    <w:lvl w:ilvl="5">
      <w:start w:val="1"/>
      <w:numFmt w:val="lowerRoman"/>
      <w:lvlText w:val="%6."/>
      <w:lvlJc w:val="right"/>
      <w:pPr>
        <w:ind w:left="5378" w:hanging="180"/>
      </w:pPr>
      <w:rPr>
        <w:vertAlign w:val="baseline"/>
      </w:rPr>
    </w:lvl>
    <w:lvl w:ilvl="6">
      <w:start w:val="1"/>
      <w:numFmt w:val="decimal"/>
      <w:lvlText w:val="%7."/>
      <w:lvlJc w:val="left"/>
      <w:pPr>
        <w:ind w:left="6098" w:hanging="360"/>
      </w:pPr>
      <w:rPr>
        <w:vertAlign w:val="baseline"/>
      </w:rPr>
    </w:lvl>
    <w:lvl w:ilvl="7">
      <w:start w:val="1"/>
      <w:numFmt w:val="lowerLetter"/>
      <w:lvlText w:val="%8."/>
      <w:lvlJc w:val="left"/>
      <w:pPr>
        <w:ind w:left="6818" w:hanging="360"/>
      </w:pPr>
      <w:rPr>
        <w:vertAlign w:val="baseline"/>
      </w:rPr>
    </w:lvl>
    <w:lvl w:ilvl="8">
      <w:start w:val="1"/>
      <w:numFmt w:val="lowerRoman"/>
      <w:lvlText w:val="%9."/>
      <w:lvlJc w:val="right"/>
      <w:pPr>
        <w:ind w:left="7538" w:hanging="180"/>
      </w:pPr>
      <w:rPr>
        <w:vertAlign w:val="baseline"/>
      </w:rPr>
    </w:lvl>
  </w:abstractNum>
  <w:abstractNum w:abstractNumId="3">
    <w:nsid w:val="110511F7"/>
    <w:multiLevelType w:val="multilevel"/>
    <w:tmpl w:val="AB66053C"/>
    <w:lvl w:ilvl="0">
      <w:start w:val="1"/>
      <w:numFmt w:val="lowerRoman"/>
      <w:pStyle w:val="CZSml01lnek2014"/>
      <w:lvlText w:val="(%1)"/>
      <w:lvlJc w:val="left"/>
      <w:pPr>
        <w:ind w:left="1287" w:hanging="720"/>
      </w:pPr>
      <w:rPr>
        <w:vertAlign w:val="baseline"/>
      </w:rPr>
    </w:lvl>
    <w:lvl w:ilvl="1">
      <w:start w:val="1"/>
      <w:numFmt w:val="lowerLetter"/>
      <w:pStyle w:val="CZSml02odstavec2014"/>
      <w:lvlText w:val="%2."/>
      <w:lvlJc w:val="left"/>
      <w:pPr>
        <w:ind w:left="1647" w:hanging="360"/>
      </w:pPr>
      <w:rPr>
        <w:vertAlign w:val="baseline"/>
      </w:rPr>
    </w:lvl>
    <w:lvl w:ilvl="2">
      <w:start w:val="1"/>
      <w:numFmt w:val="lowerRoman"/>
      <w:pStyle w:val="CZSml03psmeno2014"/>
      <w:lvlText w:val="%3."/>
      <w:lvlJc w:val="right"/>
      <w:pPr>
        <w:ind w:left="2367" w:hanging="180"/>
      </w:pPr>
      <w:rPr>
        <w:vertAlign w:val="baseline"/>
      </w:rPr>
    </w:lvl>
    <w:lvl w:ilvl="3">
      <w:start w:val="1"/>
      <w:numFmt w:val="decimal"/>
      <w:pStyle w:val="CZSml04odrka2014"/>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4">
    <w:nsid w:val="259A30BD"/>
    <w:multiLevelType w:val="multilevel"/>
    <w:tmpl w:val="20E42E24"/>
    <w:lvl w:ilvl="0">
      <w:start w:val="1"/>
      <w:numFmt w:val="lowerRoman"/>
      <w:pStyle w:val="Heading1-Number-FollowNumberCzechTourism"/>
      <w:lvlText w:val="(%1)"/>
      <w:lvlJc w:val="left"/>
      <w:pPr>
        <w:ind w:left="1287" w:hanging="720"/>
      </w:pPr>
      <w:rPr>
        <w:vertAlign w:val="baseline"/>
      </w:rPr>
    </w:lvl>
    <w:lvl w:ilvl="1">
      <w:start w:val="1"/>
      <w:numFmt w:val="lowerLetter"/>
      <w:pStyle w:val="ListNumber-ContinueHeadingCzechTourism"/>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5">
    <w:nsid w:val="287F47B8"/>
    <w:multiLevelType w:val="multilevel"/>
    <w:tmpl w:val="35AA3472"/>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6">
    <w:nsid w:val="354C6409"/>
    <w:multiLevelType w:val="multilevel"/>
    <w:tmpl w:val="D3BC86D6"/>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7">
    <w:nsid w:val="36BA4937"/>
    <w:multiLevelType w:val="multilevel"/>
    <w:tmpl w:val="F9640584"/>
    <w:lvl w:ilvl="0">
      <w:start w:val="1"/>
      <w:numFmt w:val="decimal"/>
      <w:pStyle w:val="ListLetterCzechTourism"/>
      <w:lvlText w:val="Příloha č. %1 - "/>
      <w:lvlJc w:val="left"/>
      <w:pPr>
        <w:ind w:left="1287" w:hanging="360"/>
      </w:pPr>
      <w:rPr>
        <w:rFonts w:ascii="Calibri" w:eastAsia="Calibri" w:hAnsi="Calibri" w:cs="Calibri"/>
        <w:sz w:val="20"/>
        <w:szCs w:val="20"/>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8">
    <w:nsid w:val="377C426E"/>
    <w:multiLevelType w:val="multilevel"/>
    <w:tmpl w:val="91FCD4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ODDL"/>
      <w:lvlText w:val="%9."/>
      <w:lvlJc w:val="left"/>
      <w:pPr>
        <w:tabs>
          <w:tab w:val="num" w:pos="6480"/>
        </w:tabs>
        <w:ind w:left="6480" w:hanging="720"/>
      </w:pPr>
    </w:lvl>
  </w:abstractNum>
  <w:abstractNum w:abstractNumId="9">
    <w:nsid w:val="413724AA"/>
    <w:multiLevelType w:val="multilevel"/>
    <w:tmpl w:val="8E98F7BC"/>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0">
    <w:nsid w:val="4B8331AF"/>
    <w:multiLevelType w:val="multilevel"/>
    <w:tmpl w:val="A4025382"/>
    <w:lvl w:ilvl="0">
      <w:start w:val="1"/>
      <w:numFmt w:val="lowerRoman"/>
      <w:lvlText w:val="(%1)"/>
      <w:lvlJc w:val="left"/>
      <w:pPr>
        <w:ind w:left="718" w:hanging="720"/>
      </w:pPr>
      <w:rPr>
        <w:rFonts w:ascii="Calibri" w:eastAsia="Calibri" w:hAnsi="Calibri" w:cs="Calibri"/>
        <w:color w:val="262626"/>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1">
    <w:nsid w:val="508A7ABD"/>
    <w:multiLevelType w:val="multilevel"/>
    <w:tmpl w:val="E3502BE2"/>
    <w:lvl w:ilvl="0">
      <w:start w:val="1"/>
      <w:numFmt w:val="decimal"/>
      <w:pStyle w:val="NADPIS"/>
      <w:lvlText w:val="Článek %1."/>
      <w:lvlJc w:val="left"/>
      <w:pPr>
        <w:ind w:left="360" w:hanging="72"/>
      </w:pPr>
      <w:rPr>
        <w:b/>
        <w:bCs/>
        <w:i w:val="0"/>
        <w:iCs w:val="0"/>
        <w:vertAlign w:val="baseline"/>
      </w:rPr>
    </w:lvl>
    <w:lvl w:ilvl="1">
      <w:start w:val="1"/>
      <w:numFmt w:val="decimal"/>
      <w:pStyle w:val="ODSTAVEC"/>
      <w:lvlText w:val="%1.%2."/>
      <w:lvlJc w:val="left"/>
      <w:pPr>
        <w:ind w:left="502" w:hanging="360"/>
      </w:pPr>
      <w:rPr>
        <w:rFonts w:ascii="Calibri" w:eastAsia="Calibri" w:hAnsi="Calibri" w:cs="Calibri"/>
        <w:b w:val="0"/>
        <w:bCs w:val="0"/>
        <w:i w:val="0"/>
        <w:iCs w:val="0"/>
        <w:smallCaps w:val="0"/>
        <w:strike w:val="0"/>
        <w:color w:val="262626"/>
        <w:sz w:val="20"/>
        <w:szCs w:val="20"/>
        <w:u w:val="none"/>
        <w:shd w:val="clear" w:color="auto" w:fill="auto"/>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2">
    <w:nsid w:val="7AED3B78"/>
    <w:multiLevelType w:val="multilevel"/>
    <w:tmpl w:val="35B81CDA"/>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3">
    <w:nsid w:val="7D1E4C80"/>
    <w:multiLevelType w:val="multilevel"/>
    <w:tmpl w:val="2278CF58"/>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abstractNumId w:val="11"/>
  </w:num>
  <w:num w:numId="2">
    <w:abstractNumId w:val="12"/>
  </w:num>
  <w:num w:numId="3">
    <w:abstractNumId w:val="4"/>
  </w:num>
  <w:num w:numId="4">
    <w:abstractNumId w:val="7"/>
  </w:num>
  <w:num w:numId="5">
    <w:abstractNumId w:val="0"/>
  </w:num>
  <w:num w:numId="6">
    <w:abstractNumId w:val="13"/>
  </w:num>
  <w:num w:numId="7">
    <w:abstractNumId w:val="3"/>
  </w:num>
  <w:num w:numId="8">
    <w:abstractNumId w:val="5"/>
  </w:num>
  <w:num w:numId="9">
    <w:abstractNumId w:val="6"/>
  </w:num>
  <w:num w:numId="10">
    <w:abstractNumId w:val="2"/>
  </w:num>
  <w:num w:numId="11">
    <w:abstractNumId w:val="9"/>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C95C65"/>
    <w:rsid w:val="00291FDF"/>
    <w:rsid w:val="00C95C65"/>
    <w:rsid w:val="00F803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cs" w:eastAsia="cs-CZ" w:bidi="ar-SA"/>
      </w:rPr>
    </w:rPrDefault>
    <w:pPrDefault>
      <w:pPr>
        <w:ind w:hang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style>
  <w:style w:type="paragraph" w:styleId="Nadpis1">
    <w:name w:val="heading 1"/>
    <w:basedOn w:val="Normln"/>
    <w:next w:val="Normln"/>
    <w:pPr>
      <w:keepNext/>
      <w:spacing w:before="240" w:after="60"/>
      <w:outlineLvl w:val="0"/>
    </w:pPr>
    <w:rPr>
      <w:rFonts w:ascii="Arial" w:eastAsia="Arial" w:hAnsi="Arial" w:cs="Arial"/>
      <w:b/>
      <w:bCs/>
      <w:sz w:val="32"/>
      <w:szCs w:val="32"/>
    </w:rPr>
  </w:style>
  <w:style w:type="paragraph" w:styleId="Nadpis2">
    <w:name w:val="heading 2"/>
    <w:basedOn w:val="Normln"/>
    <w:next w:val="Normln"/>
    <w:pPr>
      <w:keepNext/>
      <w:spacing w:before="240" w:after="60"/>
      <w:outlineLvl w:val="1"/>
    </w:pPr>
    <w:rPr>
      <w:rFonts w:ascii="Arial" w:eastAsia="Arial" w:hAnsi="Arial" w:cs="Arial"/>
      <w:b/>
      <w:bCs/>
      <w:i/>
      <w:iCs/>
      <w:sz w:val="28"/>
      <w:szCs w:val="28"/>
    </w:rPr>
  </w:style>
  <w:style w:type="paragraph" w:styleId="Nadpis3">
    <w:name w:val="heading 3"/>
    <w:basedOn w:val="Normln"/>
    <w:next w:val="Normln"/>
    <w:pPr>
      <w:keepNext/>
      <w:keepLines/>
      <w:spacing w:before="280" w:after="80"/>
      <w:outlineLvl w:val="2"/>
    </w:pPr>
    <w:rPr>
      <w:b/>
      <w:bCs/>
      <w:sz w:val="28"/>
      <w:szCs w:val="28"/>
    </w:rPr>
  </w:style>
  <w:style w:type="paragraph" w:styleId="Nadpis4">
    <w:name w:val="heading 4"/>
    <w:basedOn w:val="Normln"/>
    <w:next w:val="Normln"/>
    <w:pPr>
      <w:keepNext/>
      <w:keepLines/>
      <w:spacing w:before="240" w:after="40"/>
      <w:outlineLvl w:val="3"/>
    </w:pPr>
    <w:rPr>
      <w:b/>
      <w:bCs/>
    </w:rPr>
  </w:style>
  <w:style w:type="paragraph" w:styleId="Nadpis5">
    <w:name w:val="heading 5"/>
    <w:basedOn w:val="Normln"/>
    <w:next w:val="Normln"/>
    <w:pPr>
      <w:keepNext/>
      <w:keepLines/>
      <w:spacing w:before="220" w:after="40"/>
      <w:outlineLvl w:val="4"/>
    </w:pPr>
    <w:rPr>
      <w:b/>
      <w:bCs/>
      <w:sz w:val="22"/>
      <w:szCs w:val="22"/>
    </w:rPr>
  </w:style>
  <w:style w:type="paragraph" w:styleId="Nadpis6">
    <w:name w:val="heading 6"/>
    <w:basedOn w:val="Normln"/>
    <w:next w:val="Normln"/>
    <w:pPr>
      <w:keepNext/>
      <w:keepLines/>
      <w:spacing w:before="200" w:after="40"/>
      <w:outlineLvl w:val="5"/>
    </w:pPr>
    <w:rPr>
      <w:b/>
      <w:bCs/>
    </w:rPr>
  </w:style>
  <w:style w:type="paragraph" w:styleId="Nadpis7">
    <w:name w:val="heading 7"/>
    <w:pPr>
      <w:spacing w:before="240" w:after="60"/>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poloka1">
    <w:name w:val="položka 1"/>
    <w:pPr>
      <w:pBdr>
        <w:top w:val="single" w:sz="6" w:space="1" w:color="auto"/>
        <w:left w:val="single" w:sz="6" w:space="0" w:color="auto"/>
        <w:bottom w:val="single" w:sz="6" w:space="1" w:color="auto"/>
        <w:right w:val="single" w:sz="6" w:space="4" w:color="auto"/>
      </w:pBdr>
      <w:tabs>
        <w:tab w:val="left" w:pos="540"/>
        <w:tab w:val="left" w:pos="900"/>
      </w:tabs>
      <w:suppressAutoHyphens/>
      <w:overflowPunct w:val="0"/>
      <w:autoSpaceDE w:val="0"/>
      <w:autoSpaceDN w:val="0"/>
      <w:adjustRightInd w:val="0"/>
      <w:spacing w:before="520" w:after="320" w:line="1" w:lineRule="atLeast"/>
      <w:ind w:leftChars="-1" w:left="539" w:hangingChars="1" w:hanging="539"/>
      <w:textDirection w:val="btLr"/>
      <w:textAlignment w:val="baseline"/>
      <w:outlineLvl w:val="0"/>
    </w:pPr>
    <w:rPr>
      <w:rFonts w:ascii="Arial" w:hAnsi="Arial"/>
      <w:b/>
      <w:position w:val="-1"/>
      <w:sz w:val="28"/>
    </w:rPr>
  </w:style>
  <w:style w:type="paragraph" w:customStyle="1" w:styleId="bodeslovan">
    <w:name w:val="bod eíslovaný"/>
    <w:pPr>
      <w:tabs>
        <w:tab w:val="left" w:pos="2520"/>
      </w:tabs>
      <w:suppressAutoHyphens/>
      <w:overflowPunct w:val="0"/>
      <w:autoSpaceDE w:val="0"/>
      <w:autoSpaceDN w:val="0"/>
      <w:adjustRightInd w:val="0"/>
      <w:spacing w:after="120" w:line="1" w:lineRule="atLeast"/>
      <w:ind w:leftChars="-1" w:left="2520" w:hangingChars="1" w:hanging="360"/>
      <w:textDirection w:val="btLr"/>
      <w:textAlignment w:val="baseline"/>
      <w:outlineLvl w:val="0"/>
    </w:pPr>
    <w:rPr>
      <w:rFonts w:ascii="Arial" w:hAnsi="Arial"/>
      <w:position w:val="-1"/>
    </w:rPr>
  </w:style>
  <w:style w:type="paragraph" w:customStyle="1" w:styleId="bododrka">
    <w:name w:val="bod odrážka"/>
    <w:pPr>
      <w:tabs>
        <w:tab w:val="left" w:pos="2340"/>
      </w:tabs>
      <w:suppressAutoHyphens/>
      <w:overflowPunct w:val="0"/>
      <w:autoSpaceDE w:val="0"/>
      <w:autoSpaceDN w:val="0"/>
      <w:adjustRightInd w:val="0"/>
      <w:spacing w:line="1" w:lineRule="atLeast"/>
      <w:ind w:leftChars="-1" w:left="2340" w:hangingChars="1" w:hanging="360"/>
      <w:textDirection w:val="btLr"/>
      <w:textAlignment w:val="baseline"/>
      <w:outlineLvl w:val="0"/>
    </w:pPr>
    <w:rPr>
      <w:rFonts w:ascii="Arial" w:hAnsi="Arial"/>
      <w:position w:val="-1"/>
    </w:rPr>
  </w:style>
  <w:style w:type="paragraph" w:customStyle="1" w:styleId="text">
    <w:name w:val="text"/>
    <w:pPr>
      <w:suppressAutoHyphens/>
      <w:overflowPunct w:val="0"/>
      <w:autoSpaceDE w:val="0"/>
      <w:autoSpaceDN w:val="0"/>
      <w:adjustRightInd w:val="0"/>
      <w:spacing w:line="1" w:lineRule="atLeast"/>
      <w:ind w:leftChars="-1" w:left="-1" w:hangingChars="1"/>
      <w:textDirection w:val="btLr"/>
      <w:textAlignment w:val="baseline"/>
      <w:outlineLvl w:val="0"/>
    </w:pPr>
    <w:rPr>
      <w:rFonts w:ascii="Arial" w:hAnsi="Arial"/>
      <w:position w:val="-1"/>
    </w:rPr>
  </w:style>
  <w:style w:type="paragraph" w:customStyle="1" w:styleId="Hlavnibod">
    <w:name w:val="Hlavni bod"/>
    <w:pPr>
      <w:tabs>
        <w:tab w:val="left" w:pos="540"/>
      </w:tabs>
      <w:spacing w:line="300" w:lineRule="atLeast"/>
      <w:ind w:left="547" w:hanging="547"/>
    </w:pPr>
    <w:rPr>
      <w:rFonts w:ascii="Arial" w:hAnsi="Arial"/>
    </w:rPr>
  </w:style>
  <w:style w:type="paragraph" w:customStyle="1" w:styleId="nzevsmlouvy">
    <w:name w:val="název smlouvy"/>
    <w:pPr>
      <w:suppressAutoHyphens/>
      <w:overflowPunct w:val="0"/>
      <w:autoSpaceDE w:val="0"/>
      <w:autoSpaceDN w:val="0"/>
      <w:adjustRightInd w:val="0"/>
      <w:spacing w:line="1" w:lineRule="atLeast"/>
      <w:ind w:leftChars="-1" w:left="-1" w:hangingChars="1"/>
      <w:jc w:val="center"/>
      <w:textDirection w:val="btLr"/>
      <w:textAlignment w:val="baseline"/>
      <w:outlineLvl w:val="0"/>
    </w:pPr>
    <w:rPr>
      <w:position w:val="-1"/>
    </w:rPr>
  </w:style>
  <w:style w:type="paragraph" w:customStyle="1" w:styleId="ODDL">
    <w:name w:val="ODDÍL"/>
    <w:pPr>
      <w:widowControl w:val="0"/>
      <w:numPr>
        <w:ilvl w:val="11"/>
        <w:numId w:val="14"/>
      </w:numPr>
      <w:tabs>
        <w:tab w:val="left" w:pos="1080"/>
      </w:tabs>
      <w:ind w:hanging="360"/>
    </w:pPr>
    <w:rPr>
      <w:sz w:val="22"/>
    </w:rPr>
  </w:style>
  <w:style w:type="paragraph" w:customStyle="1" w:styleId="oddl0">
    <w:name w:val="oddíl"/>
    <w:pPr>
      <w:widowControl w:val="0"/>
      <w:tabs>
        <w:tab w:val="num" w:pos="360"/>
        <w:tab w:val="left" w:pos="1080"/>
      </w:tabs>
      <w:ind w:hanging="360"/>
    </w:pPr>
    <w:rPr>
      <w:sz w:val="22"/>
    </w:rPr>
  </w:style>
  <w:style w:type="paragraph" w:customStyle="1" w:styleId="textvelnku">
    <w:name w:val="text v elánku"/>
    <w:pPr>
      <w:suppressAutoHyphens/>
      <w:overflowPunct w:val="0"/>
      <w:autoSpaceDE w:val="0"/>
      <w:autoSpaceDN w:val="0"/>
      <w:adjustRightInd w:val="0"/>
      <w:spacing w:line="1" w:lineRule="atLeast"/>
      <w:ind w:leftChars="-1" w:left="-1" w:hangingChars="1"/>
      <w:textDirection w:val="btLr"/>
      <w:textAlignment w:val="baseline"/>
      <w:outlineLvl w:val="0"/>
    </w:pPr>
    <w:rPr>
      <w:rFonts w:ascii="Arial" w:hAnsi="Arial"/>
      <w:position w:val="-1"/>
      <w:sz w:val="22"/>
    </w:rPr>
  </w:style>
  <w:style w:type="paragraph" w:customStyle="1" w:styleId="odrkaTEEKA">
    <w:name w:val="odrážka TEEKA"/>
    <w:pPr>
      <w:tabs>
        <w:tab w:val="left" w:pos="360"/>
      </w:tabs>
      <w:spacing w:after="120"/>
      <w:ind w:left="360" w:hanging="360"/>
    </w:pPr>
    <w:rPr>
      <w:rFonts w:ascii="Arial" w:hAnsi="Arial"/>
      <w:sz w:val="22"/>
    </w:rPr>
  </w:style>
  <w:style w:type="paragraph" w:customStyle="1" w:styleId="textvelnku-ODRKA">
    <w:name w:val="text v elánku-ODRÁŽKA"/>
    <w:basedOn w:val="textvelnku"/>
    <w:pPr>
      <w:tabs>
        <w:tab w:val="left" w:pos="720"/>
      </w:tabs>
      <w:spacing w:before="240" w:after="60"/>
      <w:ind w:left="720" w:hanging="360"/>
      <w:jc w:val="left"/>
    </w:pPr>
  </w:style>
  <w:style w:type="paragraph" w:styleId="Zpat">
    <w:name w:val="footer"/>
    <w:pPr>
      <w:tabs>
        <w:tab w:val="center" w:pos="4536"/>
        <w:tab w:val="right" w:pos="9072"/>
      </w:tabs>
    </w:pPr>
  </w:style>
  <w:style w:type="character" w:styleId="slostrnky">
    <w:name w:val="page number"/>
    <w:basedOn w:val="Standardnpsmoodstavce"/>
    <w:rPr>
      <w:w w:val="100"/>
      <w:position w:val="-1"/>
      <w:effect w:val="none"/>
      <w:vertAlign w:val="baseline"/>
      <w:cs w:val="0"/>
      <w:em w:val="none"/>
    </w:rPr>
  </w:style>
  <w:style w:type="paragraph" w:styleId="Zkladntextodsazen">
    <w:name w:val="Body Text Indent"/>
    <w:pPr>
      <w:ind w:left="360"/>
    </w:pPr>
  </w:style>
  <w:style w:type="paragraph" w:styleId="Zhlav">
    <w:name w:val="header"/>
  </w:style>
  <w:style w:type="paragraph" w:styleId="Textbubliny">
    <w:name w:val="Balloon Text"/>
    <w:rPr>
      <w:rFonts w:ascii="Tahoma" w:hAnsi="Tahoma" w:cs="Tahoma"/>
      <w:sz w:val="16"/>
      <w:szCs w:val="16"/>
    </w:rPr>
  </w:style>
  <w:style w:type="character" w:styleId="Odkaznakoment">
    <w:name w:val="annotation reference"/>
    <w:uiPriority w:val="99"/>
    <w:rPr>
      <w:w w:val="100"/>
      <w:position w:val="-1"/>
      <w:sz w:val="16"/>
      <w:szCs w:val="16"/>
      <w:effect w:val="none"/>
      <w:vertAlign w:val="baseline"/>
      <w:cs w:val="0"/>
      <w:em w:val="none"/>
    </w:rPr>
  </w:style>
  <w:style w:type="paragraph" w:styleId="Textkomente">
    <w:name w:val="annotation text"/>
    <w:uiPriority w:val="99"/>
  </w:style>
  <w:style w:type="paragraph" w:styleId="Pedmtkomente">
    <w:name w:val="annotation subject"/>
    <w:basedOn w:val="Textkomente"/>
    <w:next w:val="Textkomente"/>
    <w:rPr>
      <w:b/>
      <w:bCs/>
    </w:rPr>
  </w:style>
  <w:style w:type="character" w:customStyle="1" w:styleId="adr">
    <w:name w:val="adr"/>
    <w:basedOn w:val="Standardnpsmoodstavce"/>
    <w:rPr>
      <w:w w:val="100"/>
      <w:position w:val="-1"/>
      <w:effect w:val="none"/>
      <w:vertAlign w:val="baseline"/>
      <w:cs w:val="0"/>
      <w:em w:val="none"/>
    </w:rPr>
  </w:style>
  <w:style w:type="character" w:customStyle="1" w:styleId="street-address">
    <w:name w:val="street-address"/>
    <w:basedOn w:val="Standardnpsmoodstavce"/>
    <w:rPr>
      <w:w w:val="100"/>
      <w:position w:val="-1"/>
      <w:effect w:val="none"/>
      <w:vertAlign w:val="baseline"/>
      <w:cs w:val="0"/>
      <w:em w:val="none"/>
    </w:rPr>
  </w:style>
  <w:style w:type="character" w:customStyle="1" w:styleId="postal-code">
    <w:name w:val="postal-code"/>
    <w:basedOn w:val="Standardnpsmoodstavce"/>
    <w:rPr>
      <w:w w:val="100"/>
      <w:position w:val="-1"/>
      <w:effect w:val="none"/>
      <w:vertAlign w:val="baseline"/>
      <w:cs w:val="0"/>
      <w:em w:val="none"/>
    </w:rPr>
  </w:style>
  <w:style w:type="paragraph" w:customStyle="1" w:styleId="ZkladntextIMP">
    <w:name w:val="Základní text_IMP"/>
    <w:pPr>
      <w:spacing w:line="276" w:lineRule="auto"/>
    </w:pPr>
    <w:rPr>
      <w:szCs w:val="24"/>
    </w:rPr>
  </w:style>
  <w:style w:type="paragraph" w:customStyle="1" w:styleId="ODSTAVEC">
    <w:name w:val="ODSTAVEC"/>
    <w:pPr>
      <w:numPr>
        <w:ilvl w:val="1"/>
        <w:numId w:val="1"/>
      </w:numPr>
      <w:spacing w:before="120"/>
      <w:ind w:left="-1" w:hanging="1"/>
    </w:pPr>
    <w:rPr>
      <w:rFonts w:ascii="Arial" w:hAnsi="Arial" w:cs="Arial"/>
      <w:sz w:val="18"/>
      <w:szCs w:val="18"/>
    </w:rPr>
  </w:style>
  <w:style w:type="paragraph" w:customStyle="1" w:styleId="NADPIS">
    <w:name w:val="NADPIS"/>
    <w:pPr>
      <w:numPr>
        <w:numId w:val="1"/>
      </w:numPr>
      <w:spacing w:before="360"/>
      <w:ind w:left="-1" w:hanging="1"/>
      <w:jc w:val="center"/>
    </w:pPr>
    <w:rPr>
      <w:rFonts w:ascii="Arial" w:hAnsi="Arial" w:cs="Arial"/>
      <w:b/>
      <w:sz w:val="22"/>
      <w:szCs w:val="22"/>
      <w:lang w:eastAsia="en-US"/>
    </w:rPr>
  </w:style>
  <w:style w:type="character" w:styleId="Hypertextovodkaz">
    <w:name w:val="Hyperlink"/>
    <w:rPr>
      <w:color w:val="0000FF"/>
      <w:w w:val="100"/>
      <w:position w:val="-1"/>
      <w:u w:val="single"/>
      <w:effect w:val="none"/>
      <w:vertAlign w:val="baseline"/>
      <w:cs w:val="0"/>
      <w:em w:val="none"/>
    </w:rPr>
  </w:style>
  <w:style w:type="paragraph" w:customStyle="1" w:styleId="Heading1-Number-FollowNumberCzechTourism">
    <w:name w:val="Heading 1 - Number - Follow Number (Czech Tourism)"/>
    <w:next w:val="ListNumber-ContinueHeadingCzechTourism"/>
    <w:pPr>
      <w:numPr>
        <w:numId w:val="3"/>
      </w:numPr>
      <w:tabs>
        <w:tab w:val="left" w:pos="680"/>
        <w:tab w:val="left" w:pos="907"/>
        <w:tab w:val="left" w:pos="1134"/>
        <w:tab w:val="left" w:pos="1361"/>
        <w:tab w:val="left" w:pos="1588"/>
        <w:tab w:val="left" w:pos="1814"/>
        <w:tab w:val="left" w:pos="2041"/>
        <w:tab w:val="left" w:pos="2268"/>
      </w:tabs>
      <w:spacing w:before="260" w:after="260" w:line="280" w:lineRule="atLeast"/>
      <w:ind w:left="-1" w:hanging="1"/>
      <w:jc w:val="center"/>
    </w:pPr>
    <w:rPr>
      <w:rFonts w:ascii="Georgia" w:hAnsi="Georgia"/>
      <w:sz w:val="26"/>
      <w:szCs w:val="26"/>
      <w:lang w:eastAsia="en-US"/>
    </w:rPr>
  </w:style>
  <w:style w:type="paragraph" w:customStyle="1" w:styleId="ListNumber-ContinueHeadingCzechTourism">
    <w:name w:val="List Number - Continue Heading (Czech Tourism)"/>
    <w:pPr>
      <w:numPr>
        <w:ilvl w:val="1"/>
        <w:numId w:val="3"/>
      </w:numPr>
      <w:spacing w:line="260" w:lineRule="atLeast"/>
      <w:ind w:left="-1" w:hanging="1"/>
    </w:pPr>
    <w:rPr>
      <w:rFonts w:ascii="Georgia" w:hAnsi="Georgia" w:cs="Arial"/>
      <w:sz w:val="22"/>
      <w:lang w:eastAsia="en-US"/>
    </w:rPr>
  </w:style>
  <w:style w:type="numbering" w:customStyle="1" w:styleId="Heading-Number-FollowNumber">
    <w:name w:val="Heading - Number - Follow Number"/>
  </w:style>
  <w:style w:type="paragraph" w:customStyle="1" w:styleId="ListLetterCzechTourism">
    <w:name w:val="List Letter (Czech Tourism)"/>
    <w:pPr>
      <w:numPr>
        <w:numId w:val="4"/>
      </w:numPr>
      <w:tabs>
        <w:tab w:val="left" w:pos="454"/>
        <w:tab w:val="left" w:pos="907"/>
        <w:tab w:val="left" w:pos="1361"/>
        <w:tab w:val="left" w:pos="1814"/>
        <w:tab w:val="left" w:pos="2268"/>
        <w:tab w:val="left" w:pos="2722"/>
        <w:tab w:val="left" w:pos="3175"/>
        <w:tab w:val="left" w:pos="3629"/>
      </w:tabs>
      <w:spacing w:line="260" w:lineRule="atLeast"/>
      <w:ind w:left="-1" w:hanging="1"/>
    </w:pPr>
    <w:rPr>
      <w:rFonts w:ascii="Georgia" w:hAnsi="Georgia" w:cs="Arial"/>
      <w:sz w:val="22"/>
      <w:lang w:eastAsia="en-US"/>
    </w:rPr>
  </w:style>
  <w:style w:type="numbering" w:customStyle="1" w:styleId="ListLetter">
    <w:name w:val="List Letter"/>
  </w:style>
  <w:style w:type="paragraph" w:styleId="Zkladntext">
    <w:name w:val="Body Text"/>
    <w:pPr>
      <w:spacing w:after="120"/>
    </w:pPr>
    <w:rPr>
      <w:rFonts w:ascii="Arial" w:hAnsi="Arial"/>
    </w:rPr>
  </w:style>
  <w:style w:type="character" w:customStyle="1" w:styleId="ZkladntextChar">
    <w:name w:val="Základní text Char"/>
    <w:rPr>
      <w:rFonts w:ascii="Arial" w:hAnsi="Arial"/>
      <w:w w:val="100"/>
      <w:position w:val="-1"/>
      <w:effect w:val="none"/>
      <w:vertAlign w:val="baseline"/>
      <w:cs w:val="0"/>
      <w:em w:val="none"/>
    </w:rPr>
  </w:style>
  <w:style w:type="character" w:customStyle="1" w:styleId="TextkomenteChar">
    <w:name w:val="Text komentáře Char"/>
    <w:uiPriority w:val="99"/>
    <w:rPr>
      <w:w w:val="100"/>
      <w:position w:val="-1"/>
      <w:effect w:val="none"/>
      <w:vertAlign w:val="baseline"/>
      <w:cs w:val="0"/>
      <w:em w:val="none"/>
    </w:rPr>
  </w:style>
  <w:style w:type="paragraph" w:customStyle="1" w:styleId="Bezmezer1">
    <w:name w:val="Bez mezer1"/>
    <w:pPr>
      <w:suppressAutoHyphens/>
      <w:spacing w:line="1" w:lineRule="atLeast"/>
      <w:ind w:leftChars="-1" w:left="-1" w:hangingChars="1"/>
      <w:textDirection w:val="btLr"/>
      <w:textAlignment w:val="top"/>
      <w:outlineLvl w:val="0"/>
    </w:pPr>
    <w:rPr>
      <w:position w:val="-1"/>
      <w:sz w:val="22"/>
      <w:szCs w:val="22"/>
      <w:lang w:eastAsia="en-US"/>
    </w:rPr>
  </w:style>
  <w:style w:type="character" w:customStyle="1" w:styleId="NoSpacingChar">
    <w:name w:val="No Spacing Char"/>
    <w:rPr>
      <w:rFonts w:ascii="Calibri" w:hAnsi="Calibri"/>
      <w:w w:val="100"/>
      <w:position w:val="-1"/>
      <w:sz w:val="22"/>
      <w:szCs w:val="22"/>
      <w:effect w:val="none"/>
      <w:vertAlign w:val="baseline"/>
      <w:cs w:val="0"/>
      <w:em w:val="none"/>
      <w:lang w:eastAsia="en-US" w:bidi="ar-SA"/>
    </w:rPr>
  </w:style>
  <w:style w:type="paragraph" w:customStyle="1" w:styleId="Stednstnovn1zvraznn21">
    <w:name w:val="Střední stínování 1 – zvýraznění 21"/>
    <w:pPr>
      <w:suppressAutoHyphens/>
      <w:spacing w:line="1" w:lineRule="atLeast"/>
      <w:ind w:leftChars="-1" w:left="-1" w:hangingChars="1"/>
      <w:textDirection w:val="btLr"/>
      <w:textAlignment w:val="top"/>
      <w:outlineLvl w:val="0"/>
    </w:pPr>
    <w:rPr>
      <w:position w:val="-1"/>
      <w:sz w:val="22"/>
      <w:szCs w:val="22"/>
      <w:lang w:eastAsia="en-US"/>
    </w:rPr>
  </w:style>
  <w:style w:type="paragraph" w:customStyle="1" w:styleId="Barevnstnovnzvraznn31">
    <w:name w:val="Barevné stínování – zvýraznění 31"/>
    <w:pPr>
      <w:ind w:left="708"/>
    </w:pPr>
  </w:style>
  <w:style w:type="table" w:styleId="Mkatabulky">
    <w:name w:val="Table Grid"/>
    <w:basedOn w:val="Normlntabulka"/>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6Char">
    <w:name w:val="Char Char6 Char"/>
    <w:pPr>
      <w:widowControl w:val="0"/>
      <w:spacing w:after="160" w:line="240" w:lineRule="atLeast"/>
    </w:pPr>
    <w:rPr>
      <w:rFonts w:ascii="Times New Roman Bold" w:hAnsi="Times New Roman Bold" w:cs="Times New Roman Bold"/>
      <w:sz w:val="22"/>
      <w:szCs w:val="22"/>
      <w:lang w:val="sk-SK" w:eastAsia="en-US"/>
    </w:rPr>
  </w:style>
  <w:style w:type="character" w:customStyle="1" w:styleId="Stednstnovn1zvraznn2Char">
    <w:name w:val="Střední stínování 1 – zvýraznění 2 Char"/>
    <w:rPr>
      <w:rFonts w:ascii="Calibri" w:eastAsia="Calibri" w:hAnsi="Calibri"/>
      <w:w w:val="100"/>
      <w:position w:val="-1"/>
      <w:sz w:val="22"/>
      <w:szCs w:val="22"/>
      <w:effect w:val="none"/>
      <w:vertAlign w:val="baseline"/>
      <w:cs w:val="0"/>
      <w:em w:val="none"/>
      <w:lang w:eastAsia="en-US" w:bidi="ar-SA"/>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sz w:val="24"/>
      <w:szCs w:val="24"/>
    </w:rPr>
  </w:style>
  <w:style w:type="paragraph" w:customStyle="1" w:styleId="Zkladntext0">
    <w:name w:val="Základní text~~~"/>
    <w:pPr>
      <w:spacing w:line="288" w:lineRule="auto"/>
    </w:pPr>
    <w:rPr>
      <w:rFonts w:ascii="Arial" w:hAnsi="Arial" w:cs="Arial"/>
      <w:szCs w:val="24"/>
    </w:rPr>
  </w:style>
  <w:style w:type="character" w:customStyle="1" w:styleId="platne1">
    <w:name w:val="platne1"/>
    <w:rPr>
      <w:w w:val="100"/>
      <w:position w:val="-1"/>
      <w:effect w:val="none"/>
      <w:vertAlign w:val="baseline"/>
      <w:cs w:val="0"/>
      <w:em w:val="none"/>
    </w:rPr>
  </w:style>
  <w:style w:type="paragraph" w:customStyle="1" w:styleId="Nadpis11">
    <w:name w:val="Nadpis 11"/>
    <w:pPr>
      <w:numPr>
        <w:numId w:val="5"/>
      </w:numPr>
      <w:shd w:val="clear" w:color="auto" w:fill="E0E0E0"/>
      <w:spacing w:before="360"/>
      <w:ind w:left="-1" w:hanging="1"/>
    </w:pPr>
    <w:rPr>
      <w:rFonts w:ascii="Arial" w:hAnsi="Arial"/>
      <w:b/>
      <w:bCs/>
      <w:caps/>
    </w:rPr>
  </w:style>
  <w:style w:type="paragraph" w:customStyle="1" w:styleId="Nadpis21">
    <w:name w:val="Nadpis 21"/>
    <w:basedOn w:val="Nadpis11"/>
    <w:pPr>
      <w:numPr>
        <w:ilvl w:val="1"/>
      </w:numPr>
      <w:shd w:val="clear" w:color="auto" w:fill="auto"/>
      <w:spacing w:before="120"/>
      <w:ind w:left="-1" w:hanging="1"/>
    </w:pPr>
    <w:rPr>
      <w:bCs w:val="0"/>
      <w:caps w:val="0"/>
    </w:rPr>
  </w:style>
  <w:style w:type="paragraph" w:customStyle="1" w:styleId="Normal1">
    <w:name w:val="Normal1"/>
    <w:pPr>
      <w:widowControl w:val="0"/>
      <w:ind w:left="708"/>
    </w:pPr>
    <w:rPr>
      <w:lang w:val="sv-SE" w:eastAsia="ar-SA"/>
    </w:rPr>
  </w:style>
  <w:style w:type="character" w:customStyle="1" w:styleId="Barevnstnovnzvraznn3Char">
    <w:name w:val="Barevné stínování – zvýraznění 3 Char"/>
    <w:rPr>
      <w:w w:val="100"/>
      <w:position w:val="-1"/>
      <w:sz w:val="24"/>
      <w:effect w:val="none"/>
      <w:vertAlign w:val="baseline"/>
      <w:cs w:val="0"/>
      <w:em w:val="none"/>
    </w:rPr>
  </w:style>
  <w:style w:type="paragraph" w:customStyle="1" w:styleId="StylNadpis21Georgia">
    <w:name w:val="Styl Nadpis 21 + Georgia"/>
    <w:basedOn w:val="Nadpis21"/>
    <w:pPr>
      <w:spacing w:before="0"/>
    </w:pPr>
    <w:rPr>
      <w:rFonts w:ascii="Georgia" w:hAnsi="Georgia"/>
      <w:bCs/>
    </w:rPr>
  </w:style>
  <w:style w:type="paragraph" w:styleId="Textpoznpodarou">
    <w:name w:val="footnote text"/>
  </w:style>
  <w:style w:type="character" w:customStyle="1" w:styleId="TextpoznpodarouChar">
    <w:name w:val="Text pozn. pod čarou Char"/>
    <w:basedOn w:val="Standardnpsmoodstavce"/>
    <w:rPr>
      <w:w w:val="100"/>
      <w:position w:val="-1"/>
      <w:effect w:val="none"/>
      <w:vertAlign w:val="baseline"/>
      <w:cs w:val="0"/>
      <w:em w:val="none"/>
    </w:rPr>
  </w:style>
  <w:style w:type="character" w:styleId="Znakapoznpodarou">
    <w:name w:val="footnote reference"/>
    <w:rPr>
      <w:w w:val="100"/>
      <w:position w:val="-1"/>
      <w:effect w:val="none"/>
      <w:vertAlign w:val="superscript"/>
      <w:cs w:val="0"/>
      <w:em w:val="none"/>
    </w:rPr>
  </w:style>
  <w:style w:type="paragraph" w:customStyle="1" w:styleId="Stednmka1zvraznn21">
    <w:name w:val="Střední mřížka 1 – zvýraznění 21"/>
    <w:pPr>
      <w:ind w:left="708"/>
    </w:pPr>
  </w:style>
  <w:style w:type="paragraph" w:customStyle="1" w:styleId="CZSml01lnek2014">
    <w:name w:val="CZ Sml 01 článek 2014"/>
    <w:next w:val="CZSml02odstavec2014"/>
    <w:pPr>
      <w:keepNext/>
      <w:numPr>
        <w:numId w:val="7"/>
      </w:numPr>
      <w:spacing w:before="720"/>
      <w:ind w:left="-1" w:hanging="1"/>
      <w:jc w:val="center"/>
    </w:pPr>
    <w:rPr>
      <w:b/>
      <w:caps/>
      <w:sz w:val="22"/>
      <w:u w:val="single"/>
    </w:rPr>
  </w:style>
  <w:style w:type="paragraph" w:customStyle="1" w:styleId="CZSml02odstavec2014">
    <w:name w:val="CZ Sml 02 odstavec 2014"/>
    <w:pPr>
      <w:numPr>
        <w:ilvl w:val="1"/>
        <w:numId w:val="7"/>
      </w:numPr>
      <w:spacing w:before="240"/>
      <w:ind w:left="-1" w:hanging="1"/>
    </w:pPr>
    <w:rPr>
      <w:sz w:val="22"/>
    </w:rPr>
  </w:style>
  <w:style w:type="paragraph" w:customStyle="1" w:styleId="CZSml03psmeno2014">
    <w:name w:val="CZ Sml 03 písmeno 2014"/>
    <w:pPr>
      <w:numPr>
        <w:ilvl w:val="2"/>
        <w:numId w:val="7"/>
      </w:numPr>
      <w:tabs>
        <w:tab w:val="num" w:pos="924"/>
      </w:tabs>
      <w:spacing w:before="120"/>
      <w:ind w:left="924" w:hanging="357"/>
    </w:pPr>
    <w:rPr>
      <w:sz w:val="22"/>
    </w:rPr>
  </w:style>
  <w:style w:type="paragraph" w:customStyle="1" w:styleId="CZSml04odrka2014">
    <w:name w:val="CZ Sml 04 odrážka 2014"/>
    <w:pPr>
      <w:numPr>
        <w:ilvl w:val="3"/>
        <w:numId w:val="7"/>
      </w:numPr>
      <w:spacing w:before="40"/>
      <w:ind w:left="-1" w:hanging="1"/>
    </w:pPr>
    <w:rPr>
      <w:sz w:val="22"/>
    </w:rPr>
  </w:style>
  <w:style w:type="character" w:customStyle="1" w:styleId="CZSml03psmeno2014Char">
    <w:name w:val="CZ Sml 03 písmeno 2014 Char"/>
    <w:rPr>
      <w:rFonts w:ascii="Calibri" w:hAnsi="Calibri"/>
      <w:w w:val="100"/>
      <w:position w:val="-1"/>
      <w:sz w:val="22"/>
      <w:effect w:val="none"/>
      <w:vertAlign w:val="baseline"/>
      <w:cs w:val="0"/>
      <w:em w:val="none"/>
    </w:rPr>
  </w:style>
  <w:style w:type="character" w:customStyle="1" w:styleId="CZSml02odstavec2014Char">
    <w:name w:val="CZ Sml 02 odstavec 2014 Char"/>
    <w:rPr>
      <w:rFonts w:ascii="Calibri" w:hAnsi="Calibri"/>
      <w:w w:val="100"/>
      <w:position w:val="-1"/>
      <w:sz w:val="22"/>
      <w:effect w:val="none"/>
      <w:vertAlign w:val="baseline"/>
      <w:cs w:val="0"/>
      <w:em w:val="none"/>
    </w:rPr>
  </w:style>
  <w:style w:type="character" w:customStyle="1" w:styleId="CZSml04odrka2014Char">
    <w:name w:val="CZ Sml 04 odrážka 2014 Char"/>
    <w:rPr>
      <w:rFonts w:ascii="Calibri" w:hAnsi="Calibri"/>
      <w:w w:val="100"/>
      <w:position w:val="-1"/>
      <w:sz w:val="22"/>
      <w:effect w:val="none"/>
      <w:vertAlign w:val="baseline"/>
      <w:cs w:val="0"/>
      <w:em w:val="none"/>
    </w:rPr>
  </w:style>
  <w:style w:type="character" w:customStyle="1" w:styleId="ZpatChar">
    <w:name w:val="Zápatí Char"/>
    <w:rPr>
      <w:w w:val="100"/>
      <w:position w:val="-1"/>
      <w:sz w:val="24"/>
      <w:effect w:val="none"/>
      <w:vertAlign w:val="baseline"/>
      <w:cs w:val="0"/>
      <w:em w:val="none"/>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styleId="Revize">
    <w:name w:val="Revision"/>
    <w:pPr>
      <w:suppressAutoHyphens/>
      <w:spacing w:line="1" w:lineRule="atLeast"/>
      <w:ind w:leftChars="-1" w:left="-1" w:hangingChars="1"/>
      <w:textDirection w:val="btLr"/>
      <w:textAlignment w:val="top"/>
      <w:outlineLvl w:val="0"/>
    </w:pPr>
    <w:rPr>
      <w:position w:val="-1"/>
      <w:sz w:val="24"/>
    </w:rPr>
  </w:style>
  <w:style w:type="table" w:customStyle="1" w:styleId="1">
    <w:name w:val="1"/>
    <w:basedOn w:val="TableNormal1"/>
    <w:tblPr>
      <w:tblStyleRowBandSize w:val="1"/>
      <w:tblStyleColBandSize w:val="1"/>
      <w:tblCellMar>
        <w:left w:w="108" w:type="dxa"/>
        <w:right w:w="108" w:type="dxa"/>
      </w:tblCellMar>
    </w:tblPr>
  </w:style>
  <w:style w:type="paragraph" w:styleId="Odstavecseseznamem">
    <w:name w:val="List Paragraph"/>
    <w:uiPriority w:val="72"/>
    <w:qFormat/>
    <w:rsid w:val="00745638"/>
    <w:pPr>
      <w:ind w:left="720"/>
      <w:contextualSpacing/>
    </w:pPr>
  </w:style>
  <w:style w:type="table" w:customStyle="1" w:styleId="a">
    <w:basedOn w:val="TableNormal1"/>
    <w:tblPr>
      <w:tblStyleRowBandSize w:val="1"/>
      <w:tblStyleColBandSize w:val="1"/>
      <w:tblCellMar>
        <w:left w:w="108" w:type="dxa"/>
        <w:right w:w="108" w:type="dxa"/>
      </w:tblCellMar>
    </w:tblPr>
  </w:style>
  <w:style w:type="paragraph" w:styleId="Podtitul">
    <w:name w:val="Subtitle"/>
    <w:basedOn w:val="Normln"/>
    <w:next w:val="Normln"/>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cs" w:eastAsia="cs-CZ" w:bidi="ar-SA"/>
      </w:rPr>
    </w:rPrDefault>
    <w:pPrDefault>
      <w:pPr>
        <w:ind w:hang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style>
  <w:style w:type="paragraph" w:styleId="Nadpis1">
    <w:name w:val="heading 1"/>
    <w:basedOn w:val="Normln"/>
    <w:next w:val="Normln"/>
    <w:pPr>
      <w:keepNext/>
      <w:spacing w:before="240" w:after="60"/>
      <w:outlineLvl w:val="0"/>
    </w:pPr>
    <w:rPr>
      <w:rFonts w:ascii="Arial" w:eastAsia="Arial" w:hAnsi="Arial" w:cs="Arial"/>
      <w:b/>
      <w:bCs/>
      <w:sz w:val="32"/>
      <w:szCs w:val="32"/>
    </w:rPr>
  </w:style>
  <w:style w:type="paragraph" w:styleId="Nadpis2">
    <w:name w:val="heading 2"/>
    <w:basedOn w:val="Normln"/>
    <w:next w:val="Normln"/>
    <w:pPr>
      <w:keepNext/>
      <w:spacing w:before="240" w:after="60"/>
      <w:outlineLvl w:val="1"/>
    </w:pPr>
    <w:rPr>
      <w:rFonts w:ascii="Arial" w:eastAsia="Arial" w:hAnsi="Arial" w:cs="Arial"/>
      <w:b/>
      <w:bCs/>
      <w:i/>
      <w:iCs/>
      <w:sz w:val="28"/>
      <w:szCs w:val="28"/>
    </w:rPr>
  </w:style>
  <w:style w:type="paragraph" w:styleId="Nadpis3">
    <w:name w:val="heading 3"/>
    <w:basedOn w:val="Normln"/>
    <w:next w:val="Normln"/>
    <w:pPr>
      <w:keepNext/>
      <w:keepLines/>
      <w:spacing w:before="280" w:after="80"/>
      <w:outlineLvl w:val="2"/>
    </w:pPr>
    <w:rPr>
      <w:b/>
      <w:bCs/>
      <w:sz w:val="28"/>
      <w:szCs w:val="28"/>
    </w:rPr>
  </w:style>
  <w:style w:type="paragraph" w:styleId="Nadpis4">
    <w:name w:val="heading 4"/>
    <w:basedOn w:val="Normln"/>
    <w:next w:val="Normln"/>
    <w:pPr>
      <w:keepNext/>
      <w:keepLines/>
      <w:spacing w:before="240" w:after="40"/>
      <w:outlineLvl w:val="3"/>
    </w:pPr>
    <w:rPr>
      <w:b/>
      <w:bCs/>
    </w:rPr>
  </w:style>
  <w:style w:type="paragraph" w:styleId="Nadpis5">
    <w:name w:val="heading 5"/>
    <w:basedOn w:val="Normln"/>
    <w:next w:val="Normln"/>
    <w:pPr>
      <w:keepNext/>
      <w:keepLines/>
      <w:spacing w:before="220" w:after="40"/>
      <w:outlineLvl w:val="4"/>
    </w:pPr>
    <w:rPr>
      <w:b/>
      <w:bCs/>
      <w:sz w:val="22"/>
      <w:szCs w:val="22"/>
    </w:rPr>
  </w:style>
  <w:style w:type="paragraph" w:styleId="Nadpis6">
    <w:name w:val="heading 6"/>
    <w:basedOn w:val="Normln"/>
    <w:next w:val="Normln"/>
    <w:pPr>
      <w:keepNext/>
      <w:keepLines/>
      <w:spacing w:before="200" w:after="40"/>
      <w:outlineLvl w:val="5"/>
    </w:pPr>
    <w:rPr>
      <w:b/>
      <w:bCs/>
    </w:rPr>
  </w:style>
  <w:style w:type="paragraph" w:styleId="Nadpis7">
    <w:name w:val="heading 7"/>
    <w:pPr>
      <w:spacing w:before="240" w:after="60"/>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poloka1">
    <w:name w:val="položka 1"/>
    <w:pPr>
      <w:pBdr>
        <w:top w:val="single" w:sz="6" w:space="1" w:color="auto"/>
        <w:left w:val="single" w:sz="6" w:space="0" w:color="auto"/>
        <w:bottom w:val="single" w:sz="6" w:space="1" w:color="auto"/>
        <w:right w:val="single" w:sz="6" w:space="4" w:color="auto"/>
      </w:pBdr>
      <w:tabs>
        <w:tab w:val="left" w:pos="540"/>
        <w:tab w:val="left" w:pos="900"/>
      </w:tabs>
      <w:suppressAutoHyphens/>
      <w:overflowPunct w:val="0"/>
      <w:autoSpaceDE w:val="0"/>
      <w:autoSpaceDN w:val="0"/>
      <w:adjustRightInd w:val="0"/>
      <w:spacing w:before="520" w:after="320" w:line="1" w:lineRule="atLeast"/>
      <w:ind w:leftChars="-1" w:left="539" w:hangingChars="1" w:hanging="539"/>
      <w:textDirection w:val="btLr"/>
      <w:textAlignment w:val="baseline"/>
      <w:outlineLvl w:val="0"/>
    </w:pPr>
    <w:rPr>
      <w:rFonts w:ascii="Arial" w:hAnsi="Arial"/>
      <w:b/>
      <w:position w:val="-1"/>
      <w:sz w:val="28"/>
    </w:rPr>
  </w:style>
  <w:style w:type="paragraph" w:customStyle="1" w:styleId="bodeslovan">
    <w:name w:val="bod eíslovaný"/>
    <w:pPr>
      <w:tabs>
        <w:tab w:val="left" w:pos="2520"/>
      </w:tabs>
      <w:suppressAutoHyphens/>
      <w:overflowPunct w:val="0"/>
      <w:autoSpaceDE w:val="0"/>
      <w:autoSpaceDN w:val="0"/>
      <w:adjustRightInd w:val="0"/>
      <w:spacing w:after="120" w:line="1" w:lineRule="atLeast"/>
      <w:ind w:leftChars="-1" w:left="2520" w:hangingChars="1" w:hanging="360"/>
      <w:textDirection w:val="btLr"/>
      <w:textAlignment w:val="baseline"/>
      <w:outlineLvl w:val="0"/>
    </w:pPr>
    <w:rPr>
      <w:rFonts w:ascii="Arial" w:hAnsi="Arial"/>
      <w:position w:val="-1"/>
    </w:rPr>
  </w:style>
  <w:style w:type="paragraph" w:customStyle="1" w:styleId="bododrka">
    <w:name w:val="bod odrážka"/>
    <w:pPr>
      <w:tabs>
        <w:tab w:val="left" w:pos="2340"/>
      </w:tabs>
      <w:suppressAutoHyphens/>
      <w:overflowPunct w:val="0"/>
      <w:autoSpaceDE w:val="0"/>
      <w:autoSpaceDN w:val="0"/>
      <w:adjustRightInd w:val="0"/>
      <w:spacing w:line="1" w:lineRule="atLeast"/>
      <w:ind w:leftChars="-1" w:left="2340" w:hangingChars="1" w:hanging="360"/>
      <w:textDirection w:val="btLr"/>
      <w:textAlignment w:val="baseline"/>
      <w:outlineLvl w:val="0"/>
    </w:pPr>
    <w:rPr>
      <w:rFonts w:ascii="Arial" w:hAnsi="Arial"/>
      <w:position w:val="-1"/>
    </w:rPr>
  </w:style>
  <w:style w:type="paragraph" w:customStyle="1" w:styleId="text">
    <w:name w:val="text"/>
    <w:pPr>
      <w:suppressAutoHyphens/>
      <w:overflowPunct w:val="0"/>
      <w:autoSpaceDE w:val="0"/>
      <w:autoSpaceDN w:val="0"/>
      <w:adjustRightInd w:val="0"/>
      <w:spacing w:line="1" w:lineRule="atLeast"/>
      <w:ind w:leftChars="-1" w:left="-1" w:hangingChars="1"/>
      <w:textDirection w:val="btLr"/>
      <w:textAlignment w:val="baseline"/>
      <w:outlineLvl w:val="0"/>
    </w:pPr>
    <w:rPr>
      <w:rFonts w:ascii="Arial" w:hAnsi="Arial"/>
      <w:position w:val="-1"/>
    </w:rPr>
  </w:style>
  <w:style w:type="paragraph" w:customStyle="1" w:styleId="Hlavnibod">
    <w:name w:val="Hlavni bod"/>
    <w:pPr>
      <w:tabs>
        <w:tab w:val="left" w:pos="540"/>
      </w:tabs>
      <w:spacing w:line="300" w:lineRule="atLeast"/>
      <w:ind w:left="547" w:hanging="547"/>
    </w:pPr>
    <w:rPr>
      <w:rFonts w:ascii="Arial" w:hAnsi="Arial"/>
    </w:rPr>
  </w:style>
  <w:style w:type="paragraph" w:customStyle="1" w:styleId="nzevsmlouvy">
    <w:name w:val="název smlouvy"/>
    <w:pPr>
      <w:suppressAutoHyphens/>
      <w:overflowPunct w:val="0"/>
      <w:autoSpaceDE w:val="0"/>
      <w:autoSpaceDN w:val="0"/>
      <w:adjustRightInd w:val="0"/>
      <w:spacing w:line="1" w:lineRule="atLeast"/>
      <w:ind w:leftChars="-1" w:left="-1" w:hangingChars="1"/>
      <w:jc w:val="center"/>
      <w:textDirection w:val="btLr"/>
      <w:textAlignment w:val="baseline"/>
      <w:outlineLvl w:val="0"/>
    </w:pPr>
    <w:rPr>
      <w:position w:val="-1"/>
    </w:rPr>
  </w:style>
  <w:style w:type="paragraph" w:customStyle="1" w:styleId="ODDL">
    <w:name w:val="ODDÍL"/>
    <w:pPr>
      <w:widowControl w:val="0"/>
      <w:numPr>
        <w:ilvl w:val="11"/>
        <w:numId w:val="14"/>
      </w:numPr>
      <w:tabs>
        <w:tab w:val="left" w:pos="1080"/>
      </w:tabs>
      <w:ind w:hanging="360"/>
    </w:pPr>
    <w:rPr>
      <w:sz w:val="22"/>
    </w:rPr>
  </w:style>
  <w:style w:type="paragraph" w:customStyle="1" w:styleId="oddl0">
    <w:name w:val="oddíl"/>
    <w:pPr>
      <w:widowControl w:val="0"/>
      <w:tabs>
        <w:tab w:val="num" w:pos="360"/>
        <w:tab w:val="left" w:pos="1080"/>
      </w:tabs>
      <w:ind w:hanging="360"/>
    </w:pPr>
    <w:rPr>
      <w:sz w:val="22"/>
    </w:rPr>
  </w:style>
  <w:style w:type="paragraph" w:customStyle="1" w:styleId="textvelnku">
    <w:name w:val="text v elánku"/>
    <w:pPr>
      <w:suppressAutoHyphens/>
      <w:overflowPunct w:val="0"/>
      <w:autoSpaceDE w:val="0"/>
      <w:autoSpaceDN w:val="0"/>
      <w:adjustRightInd w:val="0"/>
      <w:spacing w:line="1" w:lineRule="atLeast"/>
      <w:ind w:leftChars="-1" w:left="-1" w:hangingChars="1"/>
      <w:textDirection w:val="btLr"/>
      <w:textAlignment w:val="baseline"/>
      <w:outlineLvl w:val="0"/>
    </w:pPr>
    <w:rPr>
      <w:rFonts w:ascii="Arial" w:hAnsi="Arial"/>
      <w:position w:val="-1"/>
      <w:sz w:val="22"/>
    </w:rPr>
  </w:style>
  <w:style w:type="paragraph" w:customStyle="1" w:styleId="odrkaTEEKA">
    <w:name w:val="odrážka TEEKA"/>
    <w:pPr>
      <w:tabs>
        <w:tab w:val="left" w:pos="360"/>
      </w:tabs>
      <w:spacing w:after="120"/>
      <w:ind w:left="360" w:hanging="360"/>
    </w:pPr>
    <w:rPr>
      <w:rFonts w:ascii="Arial" w:hAnsi="Arial"/>
      <w:sz w:val="22"/>
    </w:rPr>
  </w:style>
  <w:style w:type="paragraph" w:customStyle="1" w:styleId="textvelnku-ODRKA">
    <w:name w:val="text v elánku-ODRÁŽKA"/>
    <w:basedOn w:val="textvelnku"/>
    <w:pPr>
      <w:tabs>
        <w:tab w:val="left" w:pos="720"/>
      </w:tabs>
      <w:spacing w:before="240" w:after="60"/>
      <w:ind w:left="720" w:hanging="360"/>
      <w:jc w:val="left"/>
    </w:pPr>
  </w:style>
  <w:style w:type="paragraph" w:styleId="Zpat">
    <w:name w:val="footer"/>
    <w:pPr>
      <w:tabs>
        <w:tab w:val="center" w:pos="4536"/>
        <w:tab w:val="right" w:pos="9072"/>
      </w:tabs>
    </w:pPr>
  </w:style>
  <w:style w:type="character" w:styleId="slostrnky">
    <w:name w:val="page number"/>
    <w:basedOn w:val="Standardnpsmoodstavce"/>
    <w:rPr>
      <w:w w:val="100"/>
      <w:position w:val="-1"/>
      <w:effect w:val="none"/>
      <w:vertAlign w:val="baseline"/>
      <w:cs w:val="0"/>
      <w:em w:val="none"/>
    </w:rPr>
  </w:style>
  <w:style w:type="paragraph" w:styleId="Zkladntextodsazen">
    <w:name w:val="Body Text Indent"/>
    <w:pPr>
      <w:ind w:left="360"/>
    </w:pPr>
  </w:style>
  <w:style w:type="paragraph" w:styleId="Zhlav">
    <w:name w:val="header"/>
  </w:style>
  <w:style w:type="paragraph" w:styleId="Textbubliny">
    <w:name w:val="Balloon Text"/>
    <w:rPr>
      <w:rFonts w:ascii="Tahoma" w:hAnsi="Tahoma" w:cs="Tahoma"/>
      <w:sz w:val="16"/>
      <w:szCs w:val="16"/>
    </w:rPr>
  </w:style>
  <w:style w:type="character" w:styleId="Odkaznakoment">
    <w:name w:val="annotation reference"/>
    <w:uiPriority w:val="99"/>
    <w:rPr>
      <w:w w:val="100"/>
      <w:position w:val="-1"/>
      <w:sz w:val="16"/>
      <w:szCs w:val="16"/>
      <w:effect w:val="none"/>
      <w:vertAlign w:val="baseline"/>
      <w:cs w:val="0"/>
      <w:em w:val="none"/>
    </w:rPr>
  </w:style>
  <w:style w:type="paragraph" w:styleId="Textkomente">
    <w:name w:val="annotation text"/>
    <w:uiPriority w:val="99"/>
  </w:style>
  <w:style w:type="paragraph" w:styleId="Pedmtkomente">
    <w:name w:val="annotation subject"/>
    <w:basedOn w:val="Textkomente"/>
    <w:next w:val="Textkomente"/>
    <w:rPr>
      <w:b/>
      <w:bCs/>
    </w:rPr>
  </w:style>
  <w:style w:type="character" w:customStyle="1" w:styleId="adr">
    <w:name w:val="adr"/>
    <w:basedOn w:val="Standardnpsmoodstavce"/>
    <w:rPr>
      <w:w w:val="100"/>
      <w:position w:val="-1"/>
      <w:effect w:val="none"/>
      <w:vertAlign w:val="baseline"/>
      <w:cs w:val="0"/>
      <w:em w:val="none"/>
    </w:rPr>
  </w:style>
  <w:style w:type="character" w:customStyle="1" w:styleId="street-address">
    <w:name w:val="street-address"/>
    <w:basedOn w:val="Standardnpsmoodstavce"/>
    <w:rPr>
      <w:w w:val="100"/>
      <w:position w:val="-1"/>
      <w:effect w:val="none"/>
      <w:vertAlign w:val="baseline"/>
      <w:cs w:val="0"/>
      <w:em w:val="none"/>
    </w:rPr>
  </w:style>
  <w:style w:type="character" w:customStyle="1" w:styleId="postal-code">
    <w:name w:val="postal-code"/>
    <w:basedOn w:val="Standardnpsmoodstavce"/>
    <w:rPr>
      <w:w w:val="100"/>
      <w:position w:val="-1"/>
      <w:effect w:val="none"/>
      <w:vertAlign w:val="baseline"/>
      <w:cs w:val="0"/>
      <w:em w:val="none"/>
    </w:rPr>
  </w:style>
  <w:style w:type="paragraph" w:customStyle="1" w:styleId="ZkladntextIMP">
    <w:name w:val="Základní text_IMP"/>
    <w:pPr>
      <w:spacing w:line="276" w:lineRule="auto"/>
    </w:pPr>
    <w:rPr>
      <w:szCs w:val="24"/>
    </w:rPr>
  </w:style>
  <w:style w:type="paragraph" w:customStyle="1" w:styleId="ODSTAVEC">
    <w:name w:val="ODSTAVEC"/>
    <w:pPr>
      <w:numPr>
        <w:ilvl w:val="1"/>
        <w:numId w:val="1"/>
      </w:numPr>
      <w:spacing w:before="120"/>
      <w:ind w:left="-1" w:hanging="1"/>
    </w:pPr>
    <w:rPr>
      <w:rFonts w:ascii="Arial" w:hAnsi="Arial" w:cs="Arial"/>
      <w:sz w:val="18"/>
      <w:szCs w:val="18"/>
    </w:rPr>
  </w:style>
  <w:style w:type="paragraph" w:customStyle="1" w:styleId="NADPIS">
    <w:name w:val="NADPIS"/>
    <w:pPr>
      <w:numPr>
        <w:numId w:val="1"/>
      </w:numPr>
      <w:spacing w:before="360"/>
      <w:ind w:left="-1" w:hanging="1"/>
      <w:jc w:val="center"/>
    </w:pPr>
    <w:rPr>
      <w:rFonts w:ascii="Arial" w:hAnsi="Arial" w:cs="Arial"/>
      <w:b/>
      <w:sz w:val="22"/>
      <w:szCs w:val="22"/>
      <w:lang w:eastAsia="en-US"/>
    </w:rPr>
  </w:style>
  <w:style w:type="character" w:styleId="Hypertextovodkaz">
    <w:name w:val="Hyperlink"/>
    <w:rPr>
      <w:color w:val="0000FF"/>
      <w:w w:val="100"/>
      <w:position w:val="-1"/>
      <w:u w:val="single"/>
      <w:effect w:val="none"/>
      <w:vertAlign w:val="baseline"/>
      <w:cs w:val="0"/>
      <w:em w:val="none"/>
    </w:rPr>
  </w:style>
  <w:style w:type="paragraph" w:customStyle="1" w:styleId="Heading1-Number-FollowNumberCzechTourism">
    <w:name w:val="Heading 1 - Number - Follow Number (Czech Tourism)"/>
    <w:next w:val="ListNumber-ContinueHeadingCzechTourism"/>
    <w:pPr>
      <w:numPr>
        <w:numId w:val="3"/>
      </w:numPr>
      <w:tabs>
        <w:tab w:val="left" w:pos="680"/>
        <w:tab w:val="left" w:pos="907"/>
        <w:tab w:val="left" w:pos="1134"/>
        <w:tab w:val="left" w:pos="1361"/>
        <w:tab w:val="left" w:pos="1588"/>
        <w:tab w:val="left" w:pos="1814"/>
        <w:tab w:val="left" w:pos="2041"/>
        <w:tab w:val="left" w:pos="2268"/>
      </w:tabs>
      <w:spacing w:before="260" w:after="260" w:line="280" w:lineRule="atLeast"/>
      <w:ind w:left="-1" w:hanging="1"/>
      <w:jc w:val="center"/>
    </w:pPr>
    <w:rPr>
      <w:rFonts w:ascii="Georgia" w:hAnsi="Georgia"/>
      <w:sz w:val="26"/>
      <w:szCs w:val="26"/>
      <w:lang w:eastAsia="en-US"/>
    </w:rPr>
  </w:style>
  <w:style w:type="paragraph" w:customStyle="1" w:styleId="ListNumber-ContinueHeadingCzechTourism">
    <w:name w:val="List Number - Continue Heading (Czech Tourism)"/>
    <w:pPr>
      <w:numPr>
        <w:ilvl w:val="1"/>
        <w:numId w:val="3"/>
      </w:numPr>
      <w:spacing w:line="260" w:lineRule="atLeast"/>
      <w:ind w:left="-1" w:hanging="1"/>
    </w:pPr>
    <w:rPr>
      <w:rFonts w:ascii="Georgia" w:hAnsi="Georgia" w:cs="Arial"/>
      <w:sz w:val="22"/>
      <w:lang w:eastAsia="en-US"/>
    </w:rPr>
  </w:style>
  <w:style w:type="numbering" w:customStyle="1" w:styleId="Heading-Number-FollowNumber">
    <w:name w:val="Heading - Number - Follow Number"/>
  </w:style>
  <w:style w:type="paragraph" w:customStyle="1" w:styleId="ListLetterCzechTourism">
    <w:name w:val="List Letter (Czech Tourism)"/>
    <w:pPr>
      <w:numPr>
        <w:numId w:val="4"/>
      </w:numPr>
      <w:tabs>
        <w:tab w:val="left" w:pos="454"/>
        <w:tab w:val="left" w:pos="907"/>
        <w:tab w:val="left" w:pos="1361"/>
        <w:tab w:val="left" w:pos="1814"/>
        <w:tab w:val="left" w:pos="2268"/>
        <w:tab w:val="left" w:pos="2722"/>
        <w:tab w:val="left" w:pos="3175"/>
        <w:tab w:val="left" w:pos="3629"/>
      </w:tabs>
      <w:spacing w:line="260" w:lineRule="atLeast"/>
      <w:ind w:left="-1" w:hanging="1"/>
    </w:pPr>
    <w:rPr>
      <w:rFonts w:ascii="Georgia" w:hAnsi="Georgia" w:cs="Arial"/>
      <w:sz w:val="22"/>
      <w:lang w:eastAsia="en-US"/>
    </w:rPr>
  </w:style>
  <w:style w:type="numbering" w:customStyle="1" w:styleId="ListLetter">
    <w:name w:val="List Letter"/>
  </w:style>
  <w:style w:type="paragraph" w:styleId="Zkladntext">
    <w:name w:val="Body Text"/>
    <w:pPr>
      <w:spacing w:after="120"/>
    </w:pPr>
    <w:rPr>
      <w:rFonts w:ascii="Arial" w:hAnsi="Arial"/>
    </w:rPr>
  </w:style>
  <w:style w:type="character" w:customStyle="1" w:styleId="ZkladntextChar">
    <w:name w:val="Základní text Char"/>
    <w:rPr>
      <w:rFonts w:ascii="Arial" w:hAnsi="Arial"/>
      <w:w w:val="100"/>
      <w:position w:val="-1"/>
      <w:effect w:val="none"/>
      <w:vertAlign w:val="baseline"/>
      <w:cs w:val="0"/>
      <w:em w:val="none"/>
    </w:rPr>
  </w:style>
  <w:style w:type="character" w:customStyle="1" w:styleId="TextkomenteChar">
    <w:name w:val="Text komentáře Char"/>
    <w:uiPriority w:val="99"/>
    <w:rPr>
      <w:w w:val="100"/>
      <w:position w:val="-1"/>
      <w:effect w:val="none"/>
      <w:vertAlign w:val="baseline"/>
      <w:cs w:val="0"/>
      <w:em w:val="none"/>
    </w:rPr>
  </w:style>
  <w:style w:type="paragraph" w:customStyle="1" w:styleId="Bezmezer1">
    <w:name w:val="Bez mezer1"/>
    <w:pPr>
      <w:suppressAutoHyphens/>
      <w:spacing w:line="1" w:lineRule="atLeast"/>
      <w:ind w:leftChars="-1" w:left="-1" w:hangingChars="1"/>
      <w:textDirection w:val="btLr"/>
      <w:textAlignment w:val="top"/>
      <w:outlineLvl w:val="0"/>
    </w:pPr>
    <w:rPr>
      <w:position w:val="-1"/>
      <w:sz w:val="22"/>
      <w:szCs w:val="22"/>
      <w:lang w:eastAsia="en-US"/>
    </w:rPr>
  </w:style>
  <w:style w:type="character" w:customStyle="1" w:styleId="NoSpacingChar">
    <w:name w:val="No Spacing Char"/>
    <w:rPr>
      <w:rFonts w:ascii="Calibri" w:hAnsi="Calibri"/>
      <w:w w:val="100"/>
      <w:position w:val="-1"/>
      <w:sz w:val="22"/>
      <w:szCs w:val="22"/>
      <w:effect w:val="none"/>
      <w:vertAlign w:val="baseline"/>
      <w:cs w:val="0"/>
      <w:em w:val="none"/>
      <w:lang w:eastAsia="en-US" w:bidi="ar-SA"/>
    </w:rPr>
  </w:style>
  <w:style w:type="paragraph" w:customStyle="1" w:styleId="Stednstnovn1zvraznn21">
    <w:name w:val="Střední stínování 1 – zvýraznění 21"/>
    <w:pPr>
      <w:suppressAutoHyphens/>
      <w:spacing w:line="1" w:lineRule="atLeast"/>
      <w:ind w:leftChars="-1" w:left="-1" w:hangingChars="1"/>
      <w:textDirection w:val="btLr"/>
      <w:textAlignment w:val="top"/>
      <w:outlineLvl w:val="0"/>
    </w:pPr>
    <w:rPr>
      <w:position w:val="-1"/>
      <w:sz w:val="22"/>
      <w:szCs w:val="22"/>
      <w:lang w:eastAsia="en-US"/>
    </w:rPr>
  </w:style>
  <w:style w:type="paragraph" w:customStyle="1" w:styleId="Barevnstnovnzvraznn31">
    <w:name w:val="Barevné stínování – zvýraznění 31"/>
    <w:pPr>
      <w:ind w:left="708"/>
    </w:pPr>
  </w:style>
  <w:style w:type="table" w:styleId="Mkatabulky">
    <w:name w:val="Table Grid"/>
    <w:basedOn w:val="Normlntabulka"/>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6Char">
    <w:name w:val="Char Char6 Char"/>
    <w:pPr>
      <w:widowControl w:val="0"/>
      <w:spacing w:after="160" w:line="240" w:lineRule="atLeast"/>
    </w:pPr>
    <w:rPr>
      <w:rFonts w:ascii="Times New Roman Bold" w:hAnsi="Times New Roman Bold" w:cs="Times New Roman Bold"/>
      <w:sz w:val="22"/>
      <w:szCs w:val="22"/>
      <w:lang w:val="sk-SK" w:eastAsia="en-US"/>
    </w:rPr>
  </w:style>
  <w:style w:type="character" w:customStyle="1" w:styleId="Stednstnovn1zvraznn2Char">
    <w:name w:val="Střední stínování 1 – zvýraznění 2 Char"/>
    <w:rPr>
      <w:rFonts w:ascii="Calibri" w:eastAsia="Calibri" w:hAnsi="Calibri"/>
      <w:w w:val="100"/>
      <w:position w:val="-1"/>
      <w:sz w:val="22"/>
      <w:szCs w:val="22"/>
      <w:effect w:val="none"/>
      <w:vertAlign w:val="baseline"/>
      <w:cs w:val="0"/>
      <w:em w:val="none"/>
      <w:lang w:eastAsia="en-US" w:bidi="ar-SA"/>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sz w:val="24"/>
      <w:szCs w:val="24"/>
    </w:rPr>
  </w:style>
  <w:style w:type="paragraph" w:customStyle="1" w:styleId="Zkladntext0">
    <w:name w:val="Základní text~~~"/>
    <w:pPr>
      <w:spacing w:line="288" w:lineRule="auto"/>
    </w:pPr>
    <w:rPr>
      <w:rFonts w:ascii="Arial" w:hAnsi="Arial" w:cs="Arial"/>
      <w:szCs w:val="24"/>
    </w:rPr>
  </w:style>
  <w:style w:type="character" w:customStyle="1" w:styleId="platne1">
    <w:name w:val="platne1"/>
    <w:rPr>
      <w:w w:val="100"/>
      <w:position w:val="-1"/>
      <w:effect w:val="none"/>
      <w:vertAlign w:val="baseline"/>
      <w:cs w:val="0"/>
      <w:em w:val="none"/>
    </w:rPr>
  </w:style>
  <w:style w:type="paragraph" w:customStyle="1" w:styleId="Nadpis11">
    <w:name w:val="Nadpis 11"/>
    <w:pPr>
      <w:numPr>
        <w:numId w:val="5"/>
      </w:numPr>
      <w:shd w:val="clear" w:color="auto" w:fill="E0E0E0"/>
      <w:spacing w:before="360"/>
      <w:ind w:left="-1" w:hanging="1"/>
    </w:pPr>
    <w:rPr>
      <w:rFonts w:ascii="Arial" w:hAnsi="Arial"/>
      <w:b/>
      <w:bCs/>
      <w:caps/>
    </w:rPr>
  </w:style>
  <w:style w:type="paragraph" w:customStyle="1" w:styleId="Nadpis21">
    <w:name w:val="Nadpis 21"/>
    <w:basedOn w:val="Nadpis11"/>
    <w:pPr>
      <w:numPr>
        <w:ilvl w:val="1"/>
      </w:numPr>
      <w:shd w:val="clear" w:color="auto" w:fill="auto"/>
      <w:spacing w:before="120"/>
      <w:ind w:left="-1" w:hanging="1"/>
    </w:pPr>
    <w:rPr>
      <w:bCs w:val="0"/>
      <w:caps w:val="0"/>
    </w:rPr>
  </w:style>
  <w:style w:type="paragraph" w:customStyle="1" w:styleId="Normal1">
    <w:name w:val="Normal1"/>
    <w:pPr>
      <w:widowControl w:val="0"/>
      <w:ind w:left="708"/>
    </w:pPr>
    <w:rPr>
      <w:lang w:val="sv-SE" w:eastAsia="ar-SA"/>
    </w:rPr>
  </w:style>
  <w:style w:type="character" w:customStyle="1" w:styleId="Barevnstnovnzvraznn3Char">
    <w:name w:val="Barevné stínování – zvýraznění 3 Char"/>
    <w:rPr>
      <w:w w:val="100"/>
      <w:position w:val="-1"/>
      <w:sz w:val="24"/>
      <w:effect w:val="none"/>
      <w:vertAlign w:val="baseline"/>
      <w:cs w:val="0"/>
      <w:em w:val="none"/>
    </w:rPr>
  </w:style>
  <w:style w:type="paragraph" w:customStyle="1" w:styleId="StylNadpis21Georgia">
    <w:name w:val="Styl Nadpis 21 + Georgia"/>
    <w:basedOn w:val="Nadpis21"/>
    <w:pPr>
      <w:spacing w:before="0"/>
    </w:pPr>
    <w:rPr>
      <w:rFonts w:ascii="Georgia" w:hAnsi="Georgia"/>
      <w:bCs/>
    </w:rPr>
  </w:style>
  <w:style w:type="paragraph" w:styleId="Textpoznpodarou">
    <w:name w:val="footnote text"/>
  </w:style>
  <w:style w:type="character" w:customStyle="1" w:styleId="TextpoznpodarouChar">
    <w:name w:val="Text pozn. pod čarou Char"/>
    <w:basedOn w:val="Standardnpsmoodstavce"/>
    <w:rPr>
      <w:w w:val="100"/>
      <w:position w:val="-1"/>
      <w:effect w:val="none"/>
      <w:vertAlign w:val="baseline"/>
      <w:cs w:val="0"/>
      <w:em w:val="none"/>
    </w:rPr>
  </w:style>
  <w:style w:type="character" w:styleId="Znakapoznpodarou">
    <w:name w:val="footnote reference"/>
    <w:rPr>
      <w:w w:val="100"/>
      <w:position w:val="-1"/>
      <w:effect w:val="none"/>
      <w:vertAlign w:val="superscript"/>
      <w:cs w:val="0"/>
      <w:em w:val="none"/>
    </w:rPr>
  </w:style>
  <w:style w:type="paragraph" w:customStyle="1" w:styleId="Stednmka1zvraznn21">
    <w:name w:val="Střední mřížka 1 – zvýraznění 21"/>
    <w:pPr>
      <w:ind w:left="708"/>
    </w:pPr>
  </w:style>
  <w:style w:type="paragraph" w:customStyle="1" w:styleId="CZSml01lnek2014">
    <w:name w:val="CZ Sml 01 článek 2014"/>
    <w:next w:val="CZSml02odstavec2014"/>
    <w:pPr>
      <w:keepNext/>
      <w:numPr>
        <w:numId w:val="7"/>
      </w:numPr>
      <w:spacing w:before="720"/>
      <w:ind w:left="-1" w:hanging="1"/>
      <w:jc w:val="center"/>
    </w:pPr>
    <w:rPr>
      <w:b/>
      <w:caps/>
      <w:sz w:val="22"/>
      <w:u w:val="single"/>
    </w:rPr>
  </w:style>
  <w:style w:type="paragraph" w:customStyle="1" w:styleId="CZSml02odstavec2014">
    <w:name w:val="CZ Sml 02 odstavec 2014"/>
    <w:pPr>
      <w:numPr>
        <w:ilvl w:val="1"/>
        <w:numId w:val="7"/>
      </w:numPr>
      <w:spacing w:before="240"/>
      <w:ind w:left="-1" w:hanging="1"/>
    </w:pPr>
    <w:rPr>
      <w:sz w:val="22"/>
    </w:rPr>
  </w:style>
  <w:style w:type="paragraph" w:customStyle="1" w:styleId="CZSml03psmeno2014">
    <w:name w:val="CZ Sml 03 písmeno 2014"/>
    <w:pPr>
      <w:numPr>
        <w:ilvl w:val="2"/>
        <w:numId w:val="7"/>
      </w:numPr>
      <w:tabs>
        <w:tab w:val="num" w:pos="924"/>
      </w:tabs>
      <w:spacing w:before="120"/>
      <w:ind w:left="924" w:hanging="357"/>
    </w:pPr>
    <w:rPr>
      <w:sz w:val="22"/>
    </w:rPr>
  </w:style>
  <w:style w:type="paragraph" w:customStyle="1" w:styleId="CZSml04odrka2014">
    <w:name w:val="CZ Sml 04 odrážka 2014"/>
    <w:pPr>
      <w:numPr>
        <w:ilvl w:val="3"/>
        <w:numId w:val="7"/>
      </w:numPr>
      <w:spacing w:before="40"/>
      <w:ind w:left="-1" w:hanging="1"/>
    </w:pPr>
    <w:rPr>
      <w:sz w:val="22"/>
    </w:rPr>
  </w:style>
  <w:style w:type="character" w:customStyle="1" w:styleId="CZSml03psmeno2014Char">
    <w:name w:val="CZ Sml 03 písmeno 2014 Char"/>
    <w:rPr>
      <w:rFonts w:ascii="Calibri" w:hAnsi="Calibri"/>
      <w:w w:val="100"/>
      <w:position w:val="-1"/>
      <w:sz w:val="22"/>
      <w:effect w:val="none"/>
      <w:vertAlign w:val="baseline"/>
      <w:cs w:val="0"/>
      <w:em w:val="none"/>
    </w:rPr>
  </w:style>
  <w:style w:type="character" w:customStyle="1" w:styleId="CZSml02odstavec2014Char">
    <w:name w:val="CZ Sml 02 odstavec 2014 Char"/>
    <w:rPr>
      <w:rFonts w:ascii="Calibri" w:hAnsi="Calibri"/>
      <w:w w:val="100"/>
      <w:position w:val="-1"/>
      <w:sz w:val="22"/>
      <w:effect w:val="none"/>
      <w:vertAlign w:val="baseline"/>
      <w:cs w:val="0"/>
      <w:em w:val="none"/>
    </w:rPr>
  </w:style>
  <w:style w:type="character" w:customStyle="1" w:styleId="CZSml04odrka2014Char">
    <w:name w:val="CZ Sml 04 odrážka 2014 Char"/>
    <w:rPr>
      <w:rFonts w:ascii="Calibri" w:hAnsi="Calibri"/>
      <w:w w:val="100"/>
      <w:position w:val="-1"/>
      <w:sz w:val="22"/>
      <w:effect w:val="none"/>
      <w:vertAlign w:val="baseline"/>
      <w:cs w:val="0"/>
      <w:em w:val="none"/>
    </w:rPr>
  </w:style>
  <w:style w:type="character" w:customStyle="1" w:styleId="ZpatChar">
    <w:name w:val="Zápatí Char"/>
    <w:rPr>
      <w:w w:val="100"/>
      <w:position w:val="-1"/>
      <w:sz w:val="24"/>
      <w:effect w:val="none"/>
      <w:vertAlign w:val="baseline"/>
      <w:cs w:val="0"/>
      <w:em w:val="none"/>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styleId="Revize">
    <w:name w:val="Revision"/>
    <w:pPr>
      <w:suppressAutoHyphens/>
      <w:spacing w:line="1" w:lineRule="atLeast"/>
      <w:ind w:leftChars="-1" w:left="-1" w:hangingChars="1"/>
      <w:textDirection w:val="btLr"/>
      <w:textAlignment w:val="top"/>
      <w:outlineLvl w:val="0"/>
    </w:pPr>
    <w:rPr>
      <w:position w:val="-1"/>
      <w:sz w:val="24"/>
    </w:rPr>
  </w:style>
  <w:style w:type="table" w:customStyle="1" w:styleId="1">
    <w:name w:val="1"/>
    <w:basedOn w:val="TableNormal1"/>
    <w:tblPr>
      <w:tblStyleRowBandSize w:val="1"/>
      <w:tblStyleColBandSize w:val="1"/>
      <w:tblCellMar>
        <w:left w:w="108" w:type="dxa"/>
        <w:right w:w="108" w:type="dxa"/>
      </w:tblCellMar>
    </w:tblPr>
  </w:style>
  <w:style w:type="paragraph" w:styleId="Odstavecseseznamem">
    <w:name w:val="List Paragraph"/>
    <w:uiPriority w:val="72"/>
    <w:qFormat/>
    <w:rsid w:val="00745638"/>
    <w:pPr>
      <w:ind w:left="720"/>
      <w:contextualSpacing/>
    </w:pPr>
  </w:style>
  <w:style w:type="table" w:customStyle="1" w:styleId="a">
    <w:basedOn w:val="TableNormal1"/>
    <w:tblPr>
      <w:tblStyleRowBandSize w:val="1"/>
      <w:tblStyleColBandSize w:val="1"/>
      <w:tblCellMar>
        <w:left w:w="108" w:type="dxa"/>
        <w:right w:w="108" w:type="dxa"/>
      </w:tblCellMar>
    </w:tblPr>
  </w:style>
  <w:style w:type="paragraph" w:styleId="Podtitul">
    <w:name w:val="Subtitle"/>
    <w:basedOn w:val="Normln"/>
    <w:next w:val="Normln"/>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4cWc/kZprFKHI9kdXJiP6CyWBg==">CgMxLjAyDmgubnV0NG9qeXdna2ViMg5oLjl1cTJxN2F5MjF0cjgAciExS0haVHNURjdNME4zQVJzZzhrWmJxTVlnZXNhdTVaNXg=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5983</Words>
  <Characters>35306</Characters>
  <Application>Microsoft Office Word</Application>
  <DocSecurity>0</DocSecurity>
  <Lines>294</Lines>
  <Paragraphs>82</Paragraphs>
  <ScaleCrop>false</ScaleCrop>
  <HeadingPairs>
    <vt:vector size="2" baseType="variant">
      <vt:variant>
        <vt:lpstr>Název</vt:lpstr>
      </vt:variant>
      <vt:variant>
        <vt:i4>1</vt:i4>
      </vt:variant>
    </vt:vector>
  </HeadingPairs>
  <TitlesOfParts>
    <vt:vector size="1" baseType="lpstr">
      <vt:lpstr/>
    </vt:vector>
  </TitlesOfParts>
  <Company>Město Tábor</Company>
  <LinksUpToDate>false</LinksUpToDate>
  <CharactersWithSpaces>41207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dlouha</dc:creator>
  <cp:lastModifiedBy>LKoubkova</cp:lastModifiedBy>
  <cp:revision>2</cp:revision>
  <cp:lastPrinted>2026-01-08T06:44:00Z</cp:lastPrinted>
  <dcterms:created xsi:type="dcterms:W3CDTF">2026-01-08T06:45:00Z</dcterms:created>
  <dcterms:modified xsi:type="dcterms:W3CDTF">2026-01-08T06:45:00Z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90756dd8-0233-4baa-8217-565c279dc45b</vt:lpwstr>
  </property>
</Properties>
</file>