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15681CB4" w:rsidR="005F5328" w:rsidRPr="000668A9" w:rsidRDefault="005F5328" w:rsidP="005F5328">
      <w:pPr>
        <w:numPr>
          <w:ilvl w:val="1"/>
          <w:numId w:val="18"/>
        </w:numPr>
        <w:tabs>
          <w:tab w:val="clear" w:pos="1713"/>
          <w:tab w:val="num" w:pos="862"/>
        </w:tabs>
        <w:ind w:left="862"/>
        <w:rPr>
          <w:rFonts w:ascii="Arial" w:hAnsi="Arial"/>
          <w:b w:val="0"/>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A74738" w:rsidRPr="00A74738">
        <w:rPr>
          <w:rFonts w:ascii="Arial" w:hAnsi="Arial"/>
          <w:sz w:val="22"/>
          <w:szCs w:val="22"/>
        </w:rPr>
        <w:t>AGRO – Měřín, obchodní společnost, s.r.o.</w:t>
      </w:r>
      <w:r w:rsidRPr="000668A9">
        <w:rPr>
          <w:rFonts w:ascii="Arial" w:hAnsi="Arial"/>
          <w:sz w:val="22"/>
          <w:szCs w:val="22"/>
        </w:rPr>
        <w:tab/>
      </w:r>
    </w:p>
    <w:p w14:paraId="729BE5C5" w14:textId="77777777" w:rsidR="005F5328" w:rsidRPr="000668A9" w:rsidRDefault="005F5328" w:rsidP="005F5328">
      <w:pPr>
        <w:numPr>
          <w:ilvl w:val="1"/>
          <w:numId w:val="18"/>
        </w:numPr>
        <w:tabs>
          <w:tab w:val="clear" w:pos="1713"/>
          <w:tab w:val="num" w:pos="862"/>
        </w:tabs>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roofErr w:type="spellStart"/>
      <w:r w:rsidRPr="000668A9">
        <w:rPr>
          <w:rFonts w:ascii="Arial" w:hAnsi="Arial"/>
          <w:b w:val="0"/>
          <w:sz w:val="22"/>
          <w:szCs w:val="22"/>
        </w:rPr>
        <w:t>Zarybník</w:t>
      </w:r>
      <w:proofErr w:type="spellEnd"/>
      <w:r w:rsidRPr="000668A9">
        <w:rPr>
          <w:rFonts w:ascii="Arial" w:hAnsi="Arial"/>
          <w:b w:val="0"/>
          <w:sz w:val="22"/>
          <w:szCs w:val="22"/>
        </w:rPr>
        <w:t xml:space="preserve">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5C3E8098"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A74738">
        <w:rPr>
          <w:rFonts w:ascii="Arial" w:hAnsi="Arial"/>
          <w:b w:val="0"/>
          <w:sz w:val="22"/>
          <w:szCs w:val="22"/>
        </w:rPr>
        <w:t>jednatel</w:t>
      </w:r>
    </w:p>
    <w:p w14:paraId="44702843" w14:textId="67EA03EA"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t xml:space="preserve">Ing. </w:t>
      </w:r>
      <w:r w:rsidR="00A74738">
        <w:rPr>
          <w:rFonts w:ascii="Arial" w:hAnsi="Arial"/>
          <w:b w:val="0"/>
          <w:sz w:val="22"/>
          <w:szCs w:val="22"/>
        </w:rPr>
        <w:t>Libor Jedlička</w:t>
      </w:r>
    </w:p>
    <w:p w14:paraId="1DC57685" w14:textId="2CA4895D" w:rsidR="005F5328" w:rsidRPr="000668A9" w:rsidRDefault="005F5328" w:rsidP="005F5328">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00A74738" w:rsidRPr="00A74738">
        <w:rPr>
          <w:rFonts w:ascii="Arial" w:hAnsi="Arial"/>
          <w:b w:val="0"/>
          <w:sz w:val="22"/>
          <w:szCs w:val="22"/>
        </w:rPr>
        <w:t>60738804</w:t>
      </w:r>
    </w:p>
    <w:p w14:paraId="3B60A089" w14:textId="72231497"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CZ63992370</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36216075"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A74738" w:rsidRPr="00A74738">
        <w:rPr>
          <w:rFonts w:ascii="Arial" w:hAnsi="Arial"/>
          <w:b w:val="0"/>
          <w:sz w:val="22"/>
          <w:szCs w:val="22"/>
        </w:rPr>
        <w:t xml:space="preserve">oddíl C, </w:t>
      </w:r>
      <w:proofErr w:type="gramStart"/>
      <w:r w:rsidR="00A74738" w:rsidRPr="00A74738">
        <w:rPr>
          <w:rFonts w:ascii="Arial" w:hAnsi="Arial"/>
          <w:b w:val="0"/>
          <w:sz w:val="22"/>
          <w:szCs w:val="22"/>
        </w:rPr>
        <w:t>vložka  18133</w:t>
      </w:r>
      <w:proofErr w:type="gramEnd"/>
      <w:r w:rsidR="00A74738" w:rsidRPr="00A74738">
        <w:rPr>
          <w:rFonts w:ascii="Arial" w:hAnsi="Arial"/>
          <w:b w:val="0"/>
          <w:sz w:val="22"/>
          <w:szCs w:val="22"/>
        </w:rPr>
        <w:t xml:space="preserve">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2A50D6FC"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0890A3AC"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w:t>
      </w:r>
      <w:proofErr w:type="gramStart"/>
      <w:r w:rsidRPr="004904E7">
        <w:rPr>
          <w:rFonts w:ascii="Arial" w:hAnsi="Arial"/>
          <w:b w:val="0"/>
          <w:sz w:val="22"/>
          <w:szCs w:val="22"/>
        </w:rPr>
        <w:t xml:space="preserve">účtu:  </w:t>
      </w:r>
      <w:r w:rsidRPr="004904E7">
        <w:rPr>
          <w:rFonts w:ascii="Arial" w:hAnsi="Arial"/>
          <w:b w:val="0"/>
          <w:sz w:val="22"/>
          <w:szCs w:val="22"/>
        </w:rPr>
        <w:tab/>
      </w:r>
      <w:proofErr w:type="gramEnd"/>
      <w:r w:rsidRPr="004904E7">
        <w:rPr>
          <w:rFonts w:ascii="Arial" w:hAnsi="Arial"/>
          <w:b w:val="0"/>
          <w:sz w:val="22"/>
          <w:szCs w:val="22"/>
        </w:rPr>
        <w:tab/>
      </w:r>
      <w:r w:rsidR="004904E7" w:rsidRPr="004904E7">
        <w:rPr>
          <w:rFonts w:ascii="Arial" w:hAnsi="Arial"/>
          <w:b w:val="0"/>
          <w:sz w:val="22"/>
          <w:szCs w:val="22"/>
        </w:rPr>
        <w:t>5361550297/0100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w:t>
      </w:r>
      <w:r>
        <w:rPr>
          <w:rFonts w:ascii="Arial" w:hAnsi="Arial" w:cs="Arial"/>
          <w:i/>
        </w:rPr>
        <w:t>objednatel</w:t>
      </w:r>
      <w:proofErr w:type="gramEnd"/>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73D1539B"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5F5328" w:rsidRPr="000668A9">
        <w:rPr>
          <w:rFonts w:ascii="Arial" w:hAnsi="Arial" w:cs="Arial"/>
          <w:b w:val="0"/>
          <w:sz w:val="22"/>
          <w:szCs w:val="22"/>
        </w:rPr>
        <w:t xml:space="preserve">Ing. </w:t>
      </w:r>
      <w:r w:rsidR="00A74738">
        <w:rPr>
          <w:rFonts w:ascii="Arial" w:hAnsi="Arial" w:cs="Arial"/>
          <w:b w:val="0"/>
          <w:sz w:val="22"/>
          <w:szCs w:val="22"/>
        </w:rPr>
        <w:t>Libor Jedlička</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27ACBC2A"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5F5328" w:rsidRPr="000668A9">
        <w:rPr>
          <w:rFonts w:ascii="Arial" w:hAnsi="Arial" w:cs="Arial"/>
          <w:b w:val="0"/>
          <w:sz w:val="22"/>
          <w:szCs w:val="22"/>
        </w:rPr>
        <w:t xml:space="preserve">Ing. </w:t>
      </w:r>
      <w:r w:rsidR="00A74738">
        <w:rPr>
          <w:rFonts w:ascii="Arial" w:hAnsi="Arial" w:cs="Arial"/>
          <w:b w:val="0"/>
          <w:sz w:val="22"/>
          <w:szCs w:val="22"/>
        </w:rPr>
        <w:t>Libor Jedlička</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r w:rsidR="003028B0">
        <w:rPr>
          <w:rFonts w:ascii="Arial" w:hAnsi="Arial" w:cs="Arial"/>
          <w:b w:val="0"/>
          <w:sz w:val="22"/>
          <w:szCs w:val="22"/>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77777777"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8B9150B" w14:textId="77777777" w:rsidR="009A61B3" w:rsidRPr="0043614C" w:rsidRDefault="009A61B3" w:rsidP="009A61B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„Objednatelem“ </w:t>
      </w:r>
      <w:r w:rsidRPr="0043614C">
        <w:rPr>
          <w:rFonts w:ascii="Arial" w:hAnsi="Arial" w:cs="Arial"/>
          <w:b w:val="0"/>
          <w:sz w:val="22"/>
          <w:szCs w:val="22"/>
          <w:lang w:eastAsia="en-US" w:bidi="en-US"/>
        </w:rPr>
        <w:t xml:space="preserve">je zadavatel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1F6939F0" w14:textId="77777777" w:rsidR="00570887" w:rsidRPr="0043614C" w:rsidRDefault="009A61B3"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„Podzhotovitelem“</w:t>
      </w:r>
      <w:r w:rsidRPr="0043614C">
        <w:rPr>
          <w:rFonts w:ascii="Arial" w:hAnsi="Arial" w:cs="Arial"/>
          <w:b w:val="0"/>
          <w:sz w:val="22"/>
          <w:szCs w:val="22"/>
          <w:lang w:eastAsia="en-US" w:bidi="en-US"/>
        </w:rPr>
        <w:t xml:space="preserve"> je </w:t>
      </w:r>
      <w:r w:rsidR="00E8577E">
        <w:rPr>
          <w:rFonts w:ascii="Arial" w:hAnsi="Arial" w:cs="Arial"/>
          <w:b w:val="0"/>
          <w:sz w:val="22"/>
          <w:szCs w:val="22"/>
          <w:lang w:eastAsia="en-US" w:bidi="en-US"/>
        </w:rPr>
        <w:t>pod</w:t>
      </w:r>
      <w:r w:rsidRPr="0043614C">
        <w:rPr>
          <w:rFonts w:ascii="Arial" w:hAnsi="Arial" w:cs="Arial"/>
          <w:b w:val="0"/>
          <w:sz w:val="22"/>
          <w:szCs w:val="22"/>
          <w:lang w:eastAsia="en-US" w:bidi="en-US"/>
        </w:rPr>
        <w:t xml:space="preserve">dodavatel </w:t>
      </w:r>
      <w:r w:rsidR="005E7B05" w:rsidRPr="0043614C">
        <w:rPr>
          <w:rFonts w:ascii="Arial" w:hAnsi="Arial" w:cs="Arial"/>
          <w:b w:val="0"/>
          <w:sz w:val="22"/>
          <w:szCs w:val="22"/>
          <w:lang w:eastAsia="en-US" w:bidi="en-US"/>
        </w:rPr>
        <w:t xml:space="preserve">po uzavření smlouvy na plnění veřejné zakázky nebo zakázky podle Pravidel </w:t>
      </w:r>
      <w:r w:rsidR="005E7B05" w:rsidRPr="0043614C">
        <w:rPr>
          <w:rFonts w:ascii="Arial" w:hAnsi="Arial" w:cs="Arial"/>
          <w:b w:val="0"/>
          <w:sz w:val="22"/>
          <w:szCs w:val="22"/>
        </w:rPr>
        <w:t>pro poskytování dotace v rámci Programu rozvoje venkova pro období 2014–2020.</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0B1210EF" w14:textId="77777777" w:rsidR="005E7B05" w:rsidRPr="0043614C" w:rsidRDefault="005E7B05" w:rsidP="005E7B0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4F2050A1" w14:textId="77777777" w:rsidR="00CC4D51"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„PRV“ </w:t>
      </w:r>
      <w:r w:rsidRPr="0043614C">
        <w:rPr>
          <w:rFonts w:ascii="Arial" w:hAnsi="Arial" w:cs="Arial"/>
          <w:b w:val="0"/>
          <w:sz w:val="22"/>
          <w:szCs w:val="22"/>
          <w:lang w:eastAsia="en-US" w:bidi="en-US"/>
        </w:rPr>
        <w:t>znamená Program rozvoje venkova na období 2014–2020.</w:t>
      </w:r>
    </w:p>
    <w:p w14:paraId="25C205FC" w14:textId="77777777" w:rsidR="00AE0ED3"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rPr>
        <w:t xml:space="preserve">„Pravidla“ </w:t>
      </w:r>
      <w:r w:rsidRPr="0043614C">
        <w:rPr>
          <w:rFonts w:ascii="Arial" w:hAnsi="Arial" w:cs="Arial"/>
          <w:b w:val="0"/>
          <w:sz w:val="22"/>
          <w:szCs w:val="22"/>
        </w:rPr>
        <w:t xml:space="preserve">značí Pravidla, </w:t>
      </w:r>
      <w:r w:rsidR="00CC4D51" w:rsidRPr="0043614C">
        <w:rPr>
          <w:rFonts w:ascii="Arial" w:hAnsi="Arial" w:cs="Arial"/>
          <w:b w:val="0"/>
          <w:sz w:val="22"/>
          <w:szCs w:val="22"/>
        </w:rPr>
        <w:t>kterými se stanovují podmínky pro poskytování dotace na projekty Programu rozvoje venkova na období 2014–2020</w:t>
      </w:r>
      <w:r w:rsidR="00E8577E">
        <w:rPr>
          <w:rFonts w:ascii="Arial" w:hAnsi="Arial" w:cs="Arial"/>
          <w:b w:val="0"/>
          <w:sz w:val="22"/>
          <w:szCs w:val="22"/>
        </w:rPr>
        <w:t xml:space="preserve"> 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77777777"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 xml:space="preserve">.1.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707DC4C1" w14:textId="77777777" w:rsidR="00AE0ED3" w:rsidRPr="0043614C" w:rsidRDefault="00AE0ED3" w:rsidP="0020248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„Zadávací podmínky“ </w:t>
      </w:r>
      <w:r w:rsidRPr="0043614C">
        <w:rPr>
          <w:rFonts w:ascii="Arial" w:hAnsi="Arial" w:cs="Arial"/>
          <w:b w:val="0"/>
          <w:sz w:val="22"/>
          <w:szCs w:val="22"/>
          <w:lang w:eastAsia="en-US" w:bidi="en-US"/>
        </w:rPr>
        <w:t>z</w:t>
      </w:r>
      <w:r w:rsidR="00202483" w:rsidRPr="0043614C">
        <w:rPr>
          <w:rFonts w:ascii="Arial" w:hAnsi="Arial" w:cs="Arial"/>
          <w:b w:val="0"/>
          <w:sz w:val="22"/>
          <w:szCs w:val="22"/>
          <w:lang w:eastAsia="en-US" w:bidi="en-US"/>
        </w:rPr>
        <w:t>načí p</w:t>
      </w:r>
      <w:r w:rsidR="00CC4D51" w:rsidRPr="0043614C">
        <w:rPr>
          <w:rFonts w:ascii="Arial" w:hAnsi="Arial" w:cs="Arial"/>
          <w:b w:val="0"/>
          <w:sz w:val="22"/>
          <w:szCs w:val="22"/>
          <w:lang w:eastAsia="en-US" w:bidi="en-US"/>
        </w:rPr>
        <w:t>odmínky dané objednatelem pro na</w:t>
      </w:r>
      <w:r w:rsidR="00202483" w:rsidRPr="0043614C">
        <w:rPr>
          <w:rFonts w:ascii="Arial" w:hAnsi="Arial" w:cs="Arial"/>
          <w:b w:val="0"/>
          <w:sz w:val="22"/>
          <w:szCs w:val="22"/>
          <w:lang w:eastAsia="en-US" w:bidi="en-US"/>
        </w:rPr>
        <w:t xml:space="preserve">bídku zhotovitele v souladu s Pravidly </w:t>
      </w:r>
      <w:r w:rsidR="00202483" w:rsidRPr="0043614C">
        <w:rPr>
          <w:rFonts w:ascii="Arial" w:hAnsi="Arial" w:cs="Arial"/>
          <w:b w:val="0"/>
          <w:sz w:val="22"/>
          <w:szCs w:val="22"/>
        </w:rPr>
        <w:t>pro poskytování dotace v rámci Programu rozvoje venkova pro období 2014–2020.</w:t>
      </w:r>
    </w:p>
    <w:p w14:paraId="23F21321" w14:textId="77777777" w:rsidR="003B213E" w:rsidRPr="00781670" w:rsidRDefault="009A61B3" w:rsidP="004E0A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„Zhotovitelem“ </w:t>
      </w:r>
      <w:r w:rsidRPr="0043614C">
        <w:rPr>
          <w:rFonts w:ascii="Arial" w:hAnsi="Arial" w:cs="Arial"/>
          <w:b w:val="0"/>
          <w:sz w:val="22"/>
          <w:szCs w:val="22"/>
          <w:lang w:eastAsia="en-US" w:bidi="en-US"/>
        </w:rPr>
        <w:t xml:space="preserve">je dodavatel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18D4ABF0" w14:textId="77777777" w:rsidR="003B213E" w:rsidRPr="0043614C" w:rsidRDefault="003B213E" w:rsidP="006F5659">
      <w:pPr>
        <w:ind w:left="720"/>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777777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 xml:space="preserve">v tomto bodě uvedených </w:t>
      </w:r>
      <w:r w:rsidR="00DF464D" w:rsidRPr="0043614C">
        <w:rPr>
          <w:rFonts w:ascii="Arial" w:hAnsi="Arial"/>
          <w:b w:val="0"/>
          <w:sz w:val="22"/>
        </w:rPr>
        <w:t xml:space="preserve">stavebních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0EFAB5E3" w14:textId="74F88F67" w:rsidR="00A74738" w:rsidRDefault="00A74738" w:rsidP="00926036">
      <w:pPr>
        <w:jc w:val="center"/>
        <w:rPr>
          <w:rFonts w:ascii="Arial" w:hAnsi="Arial"/>
          <w:sz w:val="22"/>
        </w:rPr>
      </w:pPr>
      <w:r w:rsidRPr="00A74738">
        <w:rPr>
          <w:rFonts w:ascii="Arial" w:hAnsi="Arial"/>
          <w:sz w:val="22"/>
        </w:rPr>
        <w:t xml:space="preserve">MODERNIZACE PRODEJEN </w:t>
      </w:r>
      <w:r w:rsidR="00926036" w:rsidRPr="00926036">
        <w:rPr>
          <w:rFonts w:ascii="Arial" w:hAnsi="Arial"/>
          <w:sz w:val="22"/>
        </w:rPr>
        <w:t>RYNEK</w:t>
      </w:r>
    </w:p>
    <w:p w14:paraId="7EA2676A" w14:textId="77777777" w:rsidR="00926036" w:rsidRPr="0043614C" w:rsidRDefault="00926036"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Podkladem pro uzavření smlouvy je cenová nabídka Zhotovitele ze dne ………………,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509FBC9D" w14:textId="52DE7B0B" w:rsidR="005F5328" w:rsidRPr="006E1A84" w:rsidRDefault="005F5328" w:rsidP="005F5328">
      <w:pPr>
        <w:numPr>
          <w:ilvl w:val="1"/>
          <w:numId w:val="1"/>
        </w:numPr>
        <w:jc w:val="both"/>
        <w:rPr>
          <w:rFonts w:ascii="Arial" w:hAnsi="Arial"/>
          <w:b w:val="0"/>
          <w:sz w:val="22"/>
        </w:rPr>
      </w:pPr>
      <w:r w:rsidRPr="006E1A84">
        <w:rPr>
          <w:rFonts w:ascii="Arial" w:hAnsi="Arial"/>
          <w:b w:val="0"/>
          <w:sz w:val="22"/>
        </w:rPr>
        <w:t>Místem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4904E7" w:rsidRPr="006E1A84">
        <w:rPr>
          <w:rFonts w:ascii="Arial" w:hAnsi="Arial"/>
          <w:b w:val="0"/>
          <w:sz w:val="22"/>
        </w:rPr>
        <w:t>AGRO – Měřín, obchodní společnost, s.r.o.</w:t>
      </w:r>
      <w:r w:rsidRPr="006E1A84">
        <w:rPr>
          <w:rFonts w:ascii="Arial" w:hAnsi="Arial"/>
          <w:b w:val="0"/>
          <w:sz w:val="22"/>
        </w:rPr>
        <w:t>, konkrétně zhotovitel bude dílo provádět</w:t>
      </w:r>
      <w:r w:rsidR="00A17198" w:rsidRPr="006E1A84">
        <w:rPr>
          <w:rFonts w:ascii="Arial" w:hAnsi="Arial"/>
          <w:b w:val="0"/>
          <w:sz w:val="22"/>
        </w:rPr>
        <w:t xml:space="preserve"> </w:t>
      </w:r>
      <w:r w:rsidRPr="006E1A84">
        <w:rPr>
          <w:rFonts w:ascii="Arial" w:hAnsi="Arial"/>
          <w:b w:val="0"/>
          <w:sz w:val="22"/>
        </w:rPr>
        <w:t xml:space="preserve">na pozemku st. </w:t>
      </w:r>
      <w:r w:rsidR="004904E7" w:rsidRPr="006E1A84">
        <w:rPr>
          <w:rFonts w:ascii="Arial" w:hAnsi="Arial"/>
          <w:b w:val="0"/>
          <w:sz w:val="22"/>
        </w:rPr>
        <w:t>p</w:t>
      </w:r>
      <w:r w:rsidRPr="006E1A84">
        <w:rPr>
          <w:rFonts w:ascii="Arial" w:hAnsi="Arial"/>
          <w:b w:val="0"/>
          <w:sz w:val="22"/>
        </w:rPr>
        <w:t>ar</w:t>
      </w:r>
      <w:r w:rsidR="004904E7" w:rsidRPr="006E1A84">
        <w:rPr>
          <w:rFonts w:ascii="Arial" w:hAnsi="Arial"/>
          <w:b w:val="0"/>
          <w:sz w:val="22"/>
        </w:rPr>
        <w:t>. č. 1677/2</w:t>
      </w:r>
      <w:r w:rsidRPr="006E1A84">
        <w:rPr>
          <w:rFonts w:ascii="Arial" w:hAnsi="Arial"/>
          <w:b w:val="0"/>
          <w:sz w:val="22"/>
        </w:rPr>
        <w:t xml:space="preserve">.  v katastrálním území </w:t>
      </w:r>
      <w:r w:rsidR="004904E7" w:rsidRPr="006E1A84">
        <w:rPr>
          <w:rFonts w:ascii="Arial" w:hAnsi="Arial"/>
          <w:b w:val="0"/>
          <w:sz w:val="22"/>
        </w:rPr>
        <w:t>Týniště nad Orlicí</w:t>
      </w:r>
      <w:r w:rsidRPr="006E1A84">
        <w:rPr>
          <w:rFonts w:ascii="Arial" w:hAnsi="Arial"/>
          <w:b w:val="0"/>
          <w:sz w:val="22"/>
        </w:rPr>
        <w:t>, obec</w:t>
      </w:r>
      <w:r w:rsidR="004904E7" w:rsidRPr="006E1A84">
        <w:t xml:space="preserve"> </w:t>
      </w:r>
      <w:r w:rsidR="004904E7" w:rsidRPr="006E1A84">
        <w:rPr>
          <w:rFonts w:ascii="Arial" w:hAnsi="Arial"/>
          <w:b w:val="0"/>
          <w:sz w:val="22"/>
        </w:rPr>
        <w:t>Týniště nad Orlicí,</w:t>
      </w:r>
      <w:r w:rsidRPr="006E1A84">
        <w:rPr>
          <w:rFonts w:ascii="Arial" w:hAnsi="Arial"/>
          <w:b w:val="0"/>
          <w:sz w:val="22"/>
        </w:rPr>
        <w:t xml:space="preserve"> okres </w:t>
      </w:r>
      <w:r w:rsidR="004904E7" w:rsidRPr="006E1A84">
        <w:rPr>
          <w:rFonts w:ascii="Arial" w:hAnsi="Arial"/>
          <w:b w:val="0"/>
          <w:sz w:val="22"/>
        </w:rPr>
        <w:t>Rychnov nad Kněžnou</w:t>
      </w:r>
      <w:r w:rsidRPr="006E1A84">
        <w:rPr>
          <w:rFonts w:ascii="Arial" w:hAnsi="Arial"/>
          <w:b w:val="0"/>
          <w:sz w:val="22"/>
        </w:rPr>
        <w:t>, zapsaných u Katastrálního úřadu pro kraj</w:t>
      </w:r>
      <w:r w:rsidR="006E1A84" w:rsidRPr="006E1A84">
        <w:rPr>
          <w:rFonts w:ascii="Arial" w:hAnsi="Arial"/>
          <w:b w:val="0"/>
          <w:sz w:val="22"/>
        </w:rPr>
        <w:t xml:space="preserve"> Královohradecký</w:t>
      </w:r>
      <w:r w:rsidRPr="006E1A84">
        <w:rPr>
          <w:rFonts w:ascii="Arial" w:hAnsi="Arial"/>
          <w:b w:val="0"/>
          <w:sz w:val="22"/>
        </w:rPr>
        <w:t>, Katastrální pracoviště</w:t>
      </w:r>
      <w:r w:rsidR="006E1A84" w:rsidRPr="006E1A84">
        <w:rPr>
          <w:rFonts w:ascii="Arial" w:hAnsi="Arial"/>
          <w:b w:val="0"/>
          <w:sz w:val="22"/>
        </w:rPr>
        <w:t xml:space="preserve"> Rychnov nad Kněžnou a</w:t>
      </w:r>
    </w:p>
    <w:p w14:paraId="2D1635EC" w14:textId="7BD452C1" w:rsidR="006E1A84" w:rsidRPr="006E1A84" w:rsidRDefault="006E1A84" w:rsidP="006E1A84">
      <w:pPr>
        <w:ind w:left="720"/>
        <w:jc w:val="both"/>
        <w:rPr>
          <w:rFonts w:ascii="Arial" w:hAnsi="Arial"/>
          <w:b w:val="0"/>
          <w:sz w:val="22"/>
        </w:rPr>
      </w:pPr>
      <w:r w:rsidRPr="006E1A84">
        <w:rPr>
          <w:rFonts w:ascii="Arial" w:hAnsi="Arial"/>
          <w:b w:val="0"/>
          <w:sz w:val="22"/>
        </w:rPr>
        <w:t xml:space="preserve">na pozemku st. par. č. 385/2 a </w:t>
      </w:r>
      <w:proofErr w:type="spellStart"/>
      <w:r w:rsidRPr="006E1A84">
        <w:rPr>
          <w:rFonts w:ascii="Arial" w:hAnsi="Arial"/>
          <w:b w:val="0"/>
          <w:sz w:val="22"/>
        </w:rPr>
        <w:t>poz</w:t>
      </w:r>
      <w:proofErr w:type="spellEnd"/>
      <w:r w:rsidRPr="006E1A84">
        <w:rPr>
          <w:rFonts w:ascii="Arial" w:hAnsi="Arial"/>
          <w:b w:val="0"/>
          <w:sz w:val="22"/>
        </w:rPr>
        <w:t>. par. č.</w:t>
      </w:r>
      <w:r w:rsidRPr="006E1A84">
        <w:t xml:space="preserve"> </w:t>
      </w:r>
      <w:r w:rsidRPr="006E1A84">
        <w:rPr>
          <w:rFonts w:ascii="Arial" w:hAnsi="Arial"/>
          <w:b w:val="0"/>
          <w:sz w:val="22"/>
        </w:rPr>
        <w:t>391/11</w:t>
      </w:r>
      <w:r>
        <w:rPr>
          <w:rFonts w:ascii="Arial" w:hAnsi="Arial"/>
          <w:b w:val="0"/>
          <w:sz w:val="22"/>
        </w:rPr>
        <w:t xml:space="preserve"> </w:t>
      </w:r>
      <w:r w:rsidRPr="006E1A84">
        <w:rPr>
          <w:rFonts w:ascii="Arial" w:hAnsi="Arial"/>
          <w:b w:val="0"/>
          <w:sz w:val="22"/>
        </w:rPr>
        <w:t>v katastrálním území Chropyně, obec</w:t>
      </w:r>
      <w:r w:rsidRPr="006E1A84">
        <w:t xml:space="preserve"> </w:t>
      </w:r>
      <w:r w:rsidRPr="006E1A84">
        <w:rPr>
          <w:rFonts w:ascii="Arial" w:hAnsi="Arial"/>
          <w:b w:val="0"/>
          <w:sz w:val="22"/>
        </w:rPr>
        <w:t>Chropyně, okres Kroměříž, zapsaných u Katastrálního úřadu pro kraj Zlínský, Katastrální pracoviště Kroměříž</w:t>
      </w:r>
      <w:r>
        <w:rPr>
          <w:rFonts w:ascii="Arial" w:hAnsi="Arial"/>
          <w:b w:val="0"/>
          <w:sz w:val="22"/>
        </w:rPr>
        <w:t>.</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57F3CE92" w14:textId="476D3EFC" w:rsidR="004904E7" w:rsidRPr="0043614C" w:rsidRDefault="004904E7" w:rsidP="00317451">
      <w:pPr>
        <w:pStyle w:val="Odstavecseseznamem"/>
        <w:rPr>
          <w:rFonts w:ascii="Arial" w:hAnsi="Arial"/>
          <w:b w:val="0"/>
          <w:sz w:val="22"/>
        </w:rPr>
      </w:pPr>
      <w:r>
        <w:rPr>
          <w:rFonts w:ascii="Arial" w:hAnsi="Arial"/>
          <w:b w:val="0"/>
          <w:sz w:val="22"/>
        </w:rPr>
        <w:t>Prodejna Týniště nad Orlicí</w:t>
      </w:r>
    </w:p>
    <w:p w14:paraId="436BA37E" w14:textId="77777777"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Pr>
          <w:rFonts w:ascii="Arial" w:hAnsi="Arial"/>
          <w:b w:val="0"/>
          <w:sz w:val="22"/>
        </w:rPr>
        <w:t>…………………………</w:t>
      </w:r>
    </w:p>
    <w:p w14:paraId="2C3F25A0" w14:textId="5FBDDB4E"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657E44" w:rsidRPr="004904E7">
        <w:rPr>
          <w:rFonts w:ascii="Arial" w:hAnsi="Arial"/>
          <w:b w:val="0"/>
          <w:sz w:val="22"/>
        </w:rPr>
        <w:t>…………………………</w:t>
      </w:r>
      <w:r w:rsidR="00317451" w:rsidRPr="004904E7">
        <w:rPr>
          <w:rFonts w:ascii="Arial" w:hAnsi="Arial"/>
          <w:b w:val="0"/>
          <w:sz w:val="22"/>
        </w:rPr>
        <w:tab/>
      </w:r>
      <w:r w:rsidR="00317451" w:rsidRPr="004904E7">
        <w:rPr>
          <w:rFonts w:ascii="Arial" w:hAnsi="Arial"/>
          <w:sz w:val="22"/>
        </w:rPr>
        <w:tab/>
      </w:r>
    </w:p>
    <w:p w14:paraId="0D9344AB" w14:textId="77777777"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Pr>
          <w:rFonts w:ascii="Arial" w:hAnsi="Arial"/>
          <w:b w:val="0"/>
          <w:sz w:val="22"/>
        </w:rPr>
        <w:t>…………………………</w:t>
      </w:r>
    </w:p>
    <w:p w14:paraId="65BE09EB" w14:textId="45161A65" w:rsidR="00317451" w:rsidRDefault="00317451" w:rsidP="00317451"/>
    <w:p w14:paraId="7BFF6E27" w14:textId="040C1BEE" w:rsidR="004904E7" w:rsidRDefault="004904E7" w:rsidP="00317451">
      <w:pPr>
        <w:rPr>
          <w:rFonts w:ascii="Arial" w:hAnsi="Arial" w:cs="Arial"/>
          <w:b w:val="0"/>
          <w:bCs/>
          <w:sz w:val="22"/>
          <w:szCs w:val="22"/>
        </w:rPr>
      </w:pPr>
      <w:r>
        <w:tab/>
      </w:r>
      <w:r w:rsidRPr="004904E7">
        <w:rPr>
          <w:rFonts w:ascii="Arial" w:hAnsi="Arial" w:cs="Arial"/>
          <w:b w:val="0"/>
          <w:bCs/>
          <w:sz w:val="22"/>
          <w:szCs w:val="22"/>
        </w:rPr>
        <w:t>Prodejna Chropyně</w:t>
      </w:r>
    </w:p>
    <w:p w14:paraId="44F37CA7" w14:textId="03C20CF7" w:rsidR="004904E7" w:rsidRDefault="004904E7" w:rsidP="004904E7">
      <w:pPr>
        <w:pStyle w:val="Odstavecseseznamem"/>
        <w:rPr>
          <w:rFonts w:ascii="Arial" w:hAnsi="Arial"/>
          <w:b w:val="0"/>
          <w:sz w:val="22"/>
        </w:rPr>
      </w:pPr>
      <w:r>
        <w:rPr>
          <w:rFonts w:ascii="Arial" w:hAnsi="Arial" w:cs="Arial"/>
          <w:b w:val="0"/>
          <w:bCs/>
          <w:sz w:val="22"/>
          <w:szCs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Pr>
          <w:rFonts w:ascii="Arial" w:hAnsi="Arial"/>
          <w:b w:val="0"/>
          <w:sz w:val="22"/>
        </w:rPr>
        <w:tab/>
        <w:t>…………………………</w:t>
      </w:r>
    </w:p>
    <w:p w14:paraId="4C01E7A3" w14:textId="77777777" w:rsidR="004904E7" w:rsidRPr="004904E7" w:rsidRDefault="004904E7" w:rsidP="004904E7">
      <w:pPr>
        <w:pStyle w:val="Odstavecseseznamem"/>
        <w:rPr>
          <w:rFonts w:ascii="Arial" w:hAnsi="Arial"/>
          <w:b w:val="0"/>
          <w:i/>
          <w:sz w:val="22"/>
        </w:rPr>
      </w:pPr>
      <w:r>
        <w:rPr>
          <w:rFonts w:ascii="Arial" w:hAnsi="Arial"/>
          <w:sz w:val="22"/>
        </w:rPr>
        <w:t xml:space="preserve">           </w:t>
      </w:r>
      <w:r w:rsidRPr="004904E7">
        <w:rPr>
          <w:rFonts w:ascii="Arial" w:hAnsi="Arial"/>
          <w:sz w:val="22"/>
        </w:rPr>
        <w:t>Dokončení prací:</w:t>
      </w:r>
      <w:r w:rsidRPr="004904E7">
        <w:rPr>
          <w:rFonts w:ascii="Arial" w:hAnsi="Arial"/>
          <w:b w:val="0"/>
          <w:sz w:val="22"/>
        </w:rPr>
        <w:tab/>
      </w:r>
      <w:r w:rsidRPr="004904E7">
        <w:rPr>
          <w:rFonts w:ascii="Arial" w:hAnsi="Arial"/>
          <w:b w:val="0"/>
          <w:sz w:val="22"/>
        </w:rPr>
        <w:tab/>
      </w:r>
      <w:r w:rsidRPr="004904E7">
        <w:rPr>
          <w:rFonts w:ascii="Arial" w:hAnsi="Arial"/>
          <w:b w:val="0"/>
          <w:sz w:val="22"/>
        </w:rPr>
        <w:tab/>
        <w:t>…………………………</w:t>
      </w:r>
      <w:r w:rsidRPr="004904E7">
        <w:rPr>
          <w:rFonts w:ascii="Arial" w:hAnsi="Arial"/>
          <w:b w:val="0"/>
          <w:sz w:val="22"/>
        </w:rPr>
        <w:tab/>
      </w:r>
      <w:r w:rsidRPr="004904E7">
        <w:rPr>
          <w:rFonts w:ascii="Arial" w:hAnsi="Arial"/>
          <w:sz w:val="22"/>
        </w:rPr>
        <w:tab/>
      </w:r>
    </w:p>
    <w:p w14:paraId="0020314F" w14:textId="77777777" w:rsidR="004904E7" w:rsidRPr="0043614C" w:rsidRDefault="004904E7" w:rsidP="004904E7">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Pr>
          <w:rFonts w:ascii="Arial" w:hAnsi="Arial"/>
          <w:b w:val="0"/>
          <w:sz w:val="22"/>
        </w:rPr>
        <w:tab/>
      </w:r>
      <w:r>
        <w:rPr>
          <w:rFonts w:ascii="Arial" w:hAnsi="Arial"/>
          <w:b w:val="0"/>
          <w:sz w:val="22"/>
        </w:rPr>
        <w:tab/>
      </w:r>
      <w:r>
        <w:rPr>
          <w:rFonts w:ascii="Arial" w:hAnsi="Arial"/>
          <w:b w:val="0"/>
          <w:sz w:val="22"/>
        </w:rPr>
        <w:tab/>
        <w:t>…………………………</w:t>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43614C">
        <w:rPr>
          <w:b w:val="0"/>
          <w:sz w:val="22"/>
          <w:u w:val="none"/>
        </w:rPr>
        <w:t>……………</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w:t>
      </w:r>
      <w:proofErr w:type="gramStart"/>
      <w:r w:rsidR="00416EC0" w:rsidRPr="0043614C">
        <w:rPr>
          <w:b w:val="0"/>
          <w:sz w:val="22"/>
          <w:u w:val="none"/>
        </w:rPr>
        <w:t xml:space="preserve">kdy </w:t>
      </w:r>
      <w:r w:rsidR="00DC38AF" w:rsidRPr="0043614C">
        <w:rPr>
          <w:b w:val="0"/>
          <w:sz w:val="22"/>
          <w:u w:val="none"/>
        </w:rPr>
        <w:t>:</w:t>
      </w:r>
      <w:proofErr w:type="gramEnd"/>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w:t>
      </w:r>
      <w:proofErr w:type="gramStart"/>
      <w:r w:rsidRPr="0043614C">
        <w:rPr>
          <w:b w:val="0"/>
          <w:sz w:val="22"/>
          <w:u w:val="none"/>
        </w:rPr>
        <w:lastRenderedPageBreak/>
        <w:t>známy  a</w:t>
      </w:r>
      <w:proofErr w:type="gramEnd"/>
      <w:r w:rsidRPr="0043614C">
        <w:rPr>
          <w:b w:val="0"/>
          <w:sz w:val="22"/>
          <w:u w:val="none"/>
        </w:rPr>
        <w:t xml:space="preserve">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263254B4"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 xml:space="preserve">ných nároků zhotovitele na </w:t>
      </w:r>
      <w:proofErr w:type="spellStart"/>
      <w:r w:rsidR="00907B9F">
        <w:rPr>
          <w:b w:val="0"/>
          <w:sz w:val="22"/>
          <w:u w:val="none"/>
        </w:rPr>
        <w:t>náhra</w:t>
      </w:r>
      <w:proofErr w:type="spellEnd"/>
      <w:r w:rsidR="00907B9F">
        <w:rPr>
          <w:b w:val="0"/>
          <w:sz w:val="22"/>
          <w:u w:val="none"/>
        </w:rPr>
        <w:t>-</w:t>
      </w:r>
      <w:r w:rsidR="002D2982">
        <w:rPr>
          <w:b w:val="0"/>
          <w:sz w:val="22"/>
          <w:u w:val="none"/>
        </w:rPr>
        <w:t xml:space="preserve">                                                                                                                                                                                                                                                                                                                                                                                                                                                                                                                                                                                                                                                                                                                                                                                                                                                                                                                                                                                                                                                                                                                                                                                                                                                                                                                                                                                                                                                                                                                                                                                                                                                                                                                                                                                                                                                                                                                                                                                                                                                                                                                                                                                                                                                                                                                                                                                                                                                                      </w:t>
      </w:r>
      <w:proofErr w:type="spellStart"/>
      <w:r w:rsidR="00A17198">
        <w:rPr>
          <w:b w:val="0"/>
          <w:sz w:val="22"/>
          <w:u w:val="none"/>
        </w:rPr>
        <w:t>du</w:t>
      </w:r>
      <w:proofErr w:type="spellEnd"/>
      <w:r w:rsidR="00A17198">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bude 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77777777"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 xml:space="preserve">nejméně 3 pracovní dny předem ke kontrole těch částí díla, která mají být při </w:t>
      </w:r>
      <w:r w:rsidRPr="0043614C">
        <w:rPr>
          <w:b w:val="0"/>
          <w:sz w:val="22"/>
          <w:u w:val="none"/>
        </w:rPr>
        <w:lastRenderedPageBreak/>
        <w:t>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proofErr w:type="gramStart"/>
      <w:r w:rsidR="00E703B7" w:rsidRPr="006F5659">
        <w:rPr>
          <w:b w:val="0"/>
          <w:sz w:val="22"/>
          <w:u w:val="none"/>
        </w:rPr>
        <w:t>x  za</w:t>
      </w:r>
      <w:proofErr w:type="gramEnd"/>
      <w:r w:rsidR="00E703B7" w:rsidRPr="006F5659">
        <w:rPr>
          <w:b w:val="0"/>
          <w:sz w:val="22"/>
          <w:u w:val="none"/>
        </w:rPr>
        <w:t xml:space="preserve">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lastRenderedPageBreak/>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lastRenderedPageBreak/>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lastRenderedPageBreak/>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Za všechny vady díla, které se vyskytnou po převzetí díla objednatelem v záručních </w:t>
      </w:r>
      <w:r w:rsidRPr="0043614C">
        <w:rPr>
          <w:b w:val="0"/>
          <w:sz w:val="22"/>
          <w:u w:val="none"/>
        </w:rPr>
        <w:lastRenderedPageBreak/>
        <w:t>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210AB349"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A17198" w:rsidRPr="00C56122">
        <w:rPr>
          <w:b w:val="0"/>
          <w:sz w:val="22"/>
          <w:u w:val="none"/>
        </w:rPr>
        <w:t>36</w:t>
      </w:r>
      <w:r w:rsidRPr="00C56122">
        <w:rPr>
          <w:b w:val="0"/>
          <w:sz w:val="22"/>
          <w:u w:val="none"/>
        </w:rPr>
        <w:t xml:space="preserve"> měsíců</w:t>
      </w:r>
      <w:r w:rsidR="00C56122" w:rsidRPr="00C56122">
        <w:rPr>
          <w:b w:val="0"/>
          <w:sz w:val="22"/>
          <w:u w:val="none"/>
        </w:rPr>
        <w:t xml:space="preserve"> a technologická část díla zachová smluvené vlastnosti po dobu 24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doplnit ……………….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2"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63497E10"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3A7BC2" w:rsidRPr="00A91034">
        <w:rPr>
          <w:b w:val="0"/>
          <w:sz w:val="22"/>
          <w:u w:val="none"/>
        </w:rPr>
        <w:t xml:space="preserve">minimálně </w:t>
      </w:r>
      <w:r w:rsidR="00A91034" w:rsidRPr="00A91034">
        <w:rPr>
          <w:b w:val="0"/>
          <w:sz w:val="22"/>
          <w:u w:val="none"/>
        </w:rPr>
        <w:t>15</w:t>
      </w:r>
      <w:r w:rsidR="008E76AB" w:rsidRPr="00A91034">
        <w:rPr>
          <w:b w:val="0"/>
          <w:sz w:val="22"/>
          <w:u w:val="none"/>
        </w:rPr>
        <w:t xml:space="preserve"> miliónů korun</w:t>
      </w:r>
      <w:r w:rsidR="008E76AB">
        <w:rPr>
          <w:b w:val="0"/>
          <w:sz w:val="22"/>
          <w:u w:val="none"/>
        </w:rPr>
        <w:t xml:space="preserve"> českých</w:t>
      </w:r>
      <w:r w:rsidRPr="0043614C">
        <w:rPr>
          <w:b w:val="0"/>
          <w:sz w:val="22"/>
          <w:u w:val="none"/>
        </w:rPr>
        <w:t xml:space="preserve"> smlouvy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2"/>
    <w:p w14:paraId="2827C112" w14:textId="77777777" w:rsidR="00980965" w:rsidRPr="0043614C" w:rsidRDefault="00980965" w:rsidP="003028B0"/>
    <w:p w14:paraId="1826A6E9" w14:textId="77777777"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 xml:space="preserve">o zajištění pojištění ve stanoveném rozsahu nebo kopie podle tímto daného výslovného prohlášení Zhotovitele platných pojistných smluv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lastRenderedPageBreak/>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CC4AA" w14:textId="77777777" w:rsidR="004F6BBA" w:rsidRDefault="004F6BBA">
      <w:r>
        <w:separator/>
      </w:r>
    </w:p>
  </w:endnote>
  <w:endnote w:type="continuationSeparator" w:id="0">
    <w:p w14:paraId="3CD64AD4" w14:textId="77777777" w:rsidR="004F6BBA" w:rsidRDefault="004F6BBA">
      <w:r>
        <w:continuationSeparator/>
      </w:r>
    </w:p>
  </w:endnote>
  <w:endnote w:type="continuationNotice" w:id="1">
    <w:p w14:paraId="48126ABB" w14:textId="77777777" w:rsidR="004F6BBA" w:rsidRDefault="004F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FD760" w14:textId="77777777" w:rsidR="004F6BBA" w:rsidRDefault="004F6BBA">
      <w:r>
        <w:separator/>
      </w:r>
    </w:p>
  </w:footnote>
  <w:footnote w:type="continuationSeparator" w:id="0">
    <w:p w14:paraId="71A097BF" w14:textId="77777777" w:rsidR="004F6BBA" w:rsidRDefault="004F6BBA">
      <w:r>
        <w:continuationSeparator/>
      </w:r>
    </w:p>
  </w:footnote>
  <w:footnote w:type="continuationNotice" w:id="1">
    <w:p w14:paraId="124A844D" w14:textId="77777777" w:rsidR="004F6BBA" w:rsidRDefault="004F6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659786026" r:id="rId3"/>
      </w:object>
    </w:r>
  </w:p>
  <w:p w14:paraId="5FF98762" w14:textId="77777777" w:rsidR="00EE2042" w:rsidRPr="009F3DBD" w:rsidRDefault="004F6BBA"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8"/>
  </w:num>
  <w:num w:numId="2">
    <w:abstractNumId w:val="25"/>
  </w:num>
  <w:num w:numId="3">
    <w:abstractNumId w:val="34"/>
  </w:num>
  <w:num w:numId="4">
    <w:abstractNumId w:val="45"/>
  </w:num>
  <w:num w:numId="5">
    <w:abstractNumId w:val="24"/>
  </w:num>
  <w:num w:numId="6">
    <w:abstractNumId w:val="33"/>
  </w:num>
  <w:num w:numId="7">
    <w:abstractNumId w:val="13"/>
  </w:num>
  <w:num w:numId="8">
    <w:abstractNumId w:val="9"/>
  </w:num>
  <w:num w:numId="9">
    <w:abstractNumId w:val="3"/>
  </w:num>
  <w:num w:numId="10">
    <w:abstractNumId w:val="14"/>
  </w:num>
  <w:num w:numId="11">
    <w:abstractNumId w:val="8"/>
  </w:num>
  <w:num w:numId="12">
    <w:abstractNumId w:val="26"/>
  </w:num>
  <w:num w:numId="13">
    <w:abstractNumId w:val="5"/>
  </w:num>
  <w:num w:numId="14">
    <w:abstractNumId w:val="27"/>
  </w:num>
  <w:num w:numId="15">
    <w:abstractNumId w:val="20"/>
  </w:num>
  <w:num w:numId="16">
    <w:abstractNumId w:val="29"/>
  </w:num>
  <w:num w:numId="17">
    <w:abstractNumId w:val="35"/>
  </w:num>
  <w:num w:numId="18">
    <w:abstractNumId w:val="1"/>
  </w:num>
  <w:num w:numId="19">
    <w:abstractNumId w:val="41"/>
  </w:num>
  <w:num w:numId="20">
    <w:abstractNumId w:val="46"/>
  </w:num>
  <w:num w:numId="21">
    <w:abstractNumId w:val="40"/>
  </w:num>
  <w:num w:numId="22">
    <w:abstractNumId w:val="31"/>
  </w:num>
  <w:num w:numId="23">
    <w:abstractNumId w:val="23"/>
  </w:num>
  <w:num w:numId="24">
    <w:abstractNumId w:val="43"/>
  </w:num>
  <w:num w:numId="25">
    <w:abstractNumId w:val="39"/>
  </w:num>
  <w:num w:numId="26">
    <w:abstractNumId w:val="4"/>
  </w:num>
  <w:num w:numId="27">
    <w:abstractNumId w:val="17"/>
  </w:num>
  <w:num w:numId="28">
    <w:abstractNumId w:val="0"/>
  </w:num>
  <w:num w:numId="29">
    <w:abstractNumId w:val="12"/>
  </w:num>
  <w:num w:numId="30">
    <w:abstractNumId w:val="44"/>
  </w:num>
  <w:num w:numId="31">
    <w:abstractNumId w:val="28"/>
  </w:num>
  <w:num w:numId="32">
    <w:abstractNumId w:val="10"/>
  </w:num>
  <w:num w:numId="33">
    <w:abstractNumId w:val="11"/>
  </w:num>
  <w:num w:numId="34">
    <w:abstractNumId w:val="2"/>
  </w:num>
  <w:num w:numId="35">
    <w:abstractNumId w:val="16"/>
  </w:num>
  <w:num w:numId="36">
    <w:abstractNumId w:val="7"/>
  </w:num>
  <w:num w:numId="37">
    <w:abstractNumId w:val="30"/>
  </w:num>
  <w:num w:numId="38">
    <w:abstractNumId w:val="15"/>
  </w:num>
  <w:num w:numId="39">
    <w:abstractNumId w:val="42"/>
  </w:num>
  <w:num w:numId="40">
    <w:abstractNumId w:val="6"/>
  </w:num>
  <w:num w:numId="41">
    <w:abstractNumId w:val="8"/>
  </w:num>
  <w:num w:numId="42">
    <w:abstractNumId w:val="19"/>
  </w:num>
  <w:num w:numId="43">
    <w:abstractNumId w:val="36"/>
  </w:num>
  <w:num w:numId="44">
    <w:abstractNumId w:val="22"/>
  </w:num>
  <w:num w:numId="45">
    <w:abstractNumId w:val="38"/>
  </w:num>
  <w:num w:numId="46">
    <w:abstractNumId w:val="32"/>
  </w:num>
  <w:num w:numId="47">
    <w:abstractNumId w:val="3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C1112"/>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F2546"/>
    <w:rsid w:val="006F2579"/>
    <w:rsid w:val="006F4D9A"/>
    <w:rsid w:val="006F5659"/>
    <w:rsid w:val="006F6BEF"/>
    <w:rsid w:val="007058BD"/>
    <w:rsid w:val="007123FF"/>
    <w:rsid w:val="00717799"/>
    <w:rsid w:val="00726D33"/>
    <w:rsid w:val="00726F89"/>
    <w:rsid w:val="00727AB0"/>
    <w:rsid w:val="007470F7"/>
    <w:rsid w:val="00747B46"/>
    <w:rsid w:val="00757B9C"/>
    <w:rsid w:val="00764BE2"/>
    <w:rsid w:val="0076578B"/>
    <w:rsid w:val="00770CA4"/>
    <w:rsid w:val="00781670"/>
    <w:rsid w:val="00786FF6"/>
    <w:rsid w:val="00790735"/>
    <w:rsid w:val="00790973"/>
    <w:rsid w:val="007951A3"/>
    <w:rsid w:val="007B4CE6"/>
    <w:rsid w:val="007C2645"/>
    <w:rsid w:val="008032F5"/>
    <w:rsid w:val="00817CD3"/>
    <w:rsid w:val="00824811"/>
    <w:rsid w:val="00833AD8"/>
    <w:rsid w:val="00846602"/>
    <w:rsid w:val="00863FBF"/>
    <w:rsid w:val="00866902"/>
    <w:rsid w:val="008739CB"/>
    <w:rsid w:val="00873DDC"/>
    <w:rsid w:val="008918EE"/>
    <w:rsid w:val="008A462F"/>
    <w:rsid w:val="008D20C2"/>
    <w:rsid w:val="008D40CF"/>
    <w:rsid w:val="008E3928"/>
    <w:rsid w:val="008E76AB"/>
    <w:rsid w:val="008E7863"/>
    <w:rsid w:val="008F5133"/>
    <w:rsid w:val="00902DF0"/>
    <w:rsid w:val="0090593E"/>
    <w:rsid w:val="00907B9F"/>
    <w:rsid w:val="009142FE"/>
    <w:rsid w:val="00926036"/>
    <w:rsid w:val="00927E82"/>
    <w:rsid w:val="00950BC4"/>
    <w:rsid w:val="00956F2C"/>
    <w:rsid w:val="00973FFB"/>
    <w:rsid w:val="00980965"/>
    <w:rsid w:val="00984ED4"/>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62574"/>
    <w:rsid w:val="00B64822"/>
    <w:rsid w:val="00B676A4"/>
    <w:rsid w:val="00B914C7"/>
    <w:rsid w:val="00BA3F89"/>
    <w:rsid w:val="00BC59D0"/>
    <w:rsid w:val="00BD1035"/>
    <w:rsid w:val="00BE0DEC"/>
    <w:rsid w:val="00BE30F6"/>
    <w:rsid w:val="00BE7E58"/>
    <w:rsid w:val="00BF29C6"/>
    <w:rsid w:val="00BF4FED"/>
    <w:rsid w:val="00C036EB"/>
    <w:rsid w:val="00C10922"/>
    <w:rsid w:val="00C149F2"/>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E29BA"/>
    <w:rsid w:val="00DF464D"/>
    <w:rsid w:val="00E01DDB"/>
    <w:rsid w:val="00E05F38"/>
    <w:rsid w:val="00E2115A"/>
    <w:rsid w:val="00E21F42"/>
    <w:rsid w:val="00E26011"/>
    <w:rsid w:val="00E32C01"/>
    <w:rsid w:val="00E43C27"/>
    <w:rsid w:val="00E55CA5"/>
    <w:rsid w:val="00E63A5B"/>
    <w:rsid w:val="00E703B7"/>
    <w:rsid w:val="00E8577E"/>
    <w:rsid w:val="00E94201"/>
    <w:rsid w:val="00EA08B8"/>
    <w:rsid w:val="00EA17E5"/>
    <w:rsid w:val="00EA7D21"/>
    <w:rsid w:val="00EB7567"/>
    <w:rsid w:val="00EF5BF6"/>
    <w:rsid w:val="00F05F53"/>
    <w:rsid w:val="00F117D6"/>
    <w:rsid w:val="00F3030F"/>
    <w:rsid w:val="00F3722A"/>
    <w:rsid w:val="00F645D7"/>
    <w:rsid w:val="00F82DDE"/>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2.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5117</Words>
  <Characters>30196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2017-10-24T05:13:00Z</dcterms:created>
  <dcterms:modified xsi:type="dcterms:W3CDTF">2020-08-24T12:54:00Z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