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919D" w14:textId="11C5E8B7" w:rsidR="00CC60AA" w:rsidRPr="00431329" w:rsidRDefault="354F6A06" w:rsidP="354F6A06">
      <w:pPr>
        <w:pStyle w:val="Nzev"/>
        <w:rPr>
          <w:sz w:val="28"/>
          <w:szCs w:val="28"/>
        </w:rPr>
      </w:pPr>
      <w:r w:rsidRPr="354F6A06">
        <w:rPr>
          <w:sz w:val="28"/>
          <w:szCs w:val="28"/>
        </w:rPr>
        <w:t xml:space="preserve">Příloha č. 6 zadávací dokumentace </w:t>
      </w:r>
      <w:r w:rsidR="00911806">
        <w:rPr>
          <w:sz w:val="28"/>
          <w:szCs w:val="28"/>
        </w:rPr>
        <w:t>k</w:t>
      </w:r>
      <w:r w:rsidRPr="354F6A06">
        <w:rPr>
          <w:sz w:val="28"/>
          <w:szCs w:val="28"/>
        </w:rPr>
        <w:t xml:space="preserve"> veřejné zakázce </w:t>
      </w:r>
    </w:p>
    <w:p w14:paraId="445F4DA3" w14:textId="38CFB744" w:rsidR="00CC60AA" w:rsidRPr="00431329" w:rsidRDefault="354F6A06" w:rsidP="00CC60AA">
      <w:pPr>
        <w:pStyle w:val="Nzev"/>
        <w:rPr>
          <w:sz w:val="28"/>
          <w:szCs w:val="28"/>
        </w:rPr>
      </w:pPr>
      <w:r w:rsidRPr="354F6A06">
        <w:rPr>
          <w:sz w:val="28"/>
          <w:szCs w:val="28"/>
        </w:rPr>
        <w:t>„</w:t>
      </w:r>
      <w:r w:rsidR="00911806">
        <w:rPr>
          <w:sz w:val="28"/>
          <w:szCs w:val="28"/>
        </w:rPr>
        <w:t xml:space="preserve">Kamerový systém </w:t>
      </w:r>
      <w:r w:rsidR="00CD2D34">
        <w:rPr>
          <w:sz w:val="28"/>
          <w:szCs w:val="28"/>
        </w:rPr>
        <w:t>pro územní města Jilemnice</w:t>
      </w:r>
      <w:r w:rsidRPr="354F6A06">
        <w:rPr>
          <w:sz w:val="28"/>
          <w:szCs w:val="28"/>
        </w:rPr>
        <w:t>“</w:t>
      </w:r>
    </w:p>
    <w:p w14:paraId="17324B12" w14:textId="77777777" w:rsidR="00CC60AA" w:rsidRPr="008B2088" w:rsidRDefault="00CC60AA" w:rsidP="00CC60AA">
      <w:pPr>
        <w:rPr>
          <w:sz w:val="28"/>
          <w:szCs w:val="28"/>
        </w:rPr>
      </w:pPr>
    </w:p>
    <w:p w14:paraId="562564B5" w14:textId="7D188B6B" w:rsidR="002C5D97" w:rsidRDefault="00BC2B9B" w:rsidP="00BC2B9B">
      <w:pPr>
        <w:jc w:val="center"/>
        <w:rPr>
          <w:b/>
          <w:sz w:val="24"/>
        </w:rPr>
      </w:pPr>
      <w:r w:rsidRPr="00BC2B9B">
        <w:rPr>
          <w:b/>
          <w:sz w:val="24"/>
        </w:rPr>
        <w:t>Prohlášení o dodržování zásady “významně nepoškozovat” (DNS</w:t>
      </w:r>
      <w:r w:rsidR="004B042B">
        <w:rPr>
          <w:b/>
          <w:sz w:val="24"/>
        </w:rPr>
        <w:t>H</w:t>
      </w:r>
      <w:r w:rsidRPr="00BC2B9B">
        <w:rPr>
          <w:b/>
          <w:sz w:val="24"/>
        </w:rPr>
        <w:t>)</w:t>
      </w:r>
    </w:p>
    <w:p w14:paraId="1EE5138B" w14:textId="77777777" w:rsidR="00BC2B9B" w:rsidRDefault="00BC2B9B" w:rsidP="002C5D97"/>
    <w:p w14:paraId="08152542" w14:textId="77777777" w:rsidR="00BC2B9B" w:rsidRDefault="00BC2B9B" w:rsidP="00BC2B9B">
      <w:pPr>
        <w:widowControl w:val="0"/>
        <w:shd w:val="clear" w:color="auto" w:fill="DEEAF6" w:themeFill="accent1" w:themeFillTint="33"/>
        <w:spacing w:line="276" w:lineRule="auto"/>
        <w:rPr>
          <w:rFonts w:eastAsia="Calibri" w:cs="Calibri"/>
          <w:b/>
          <w:bCs/>
          <w:sz w:val="24"/>
          <w:szCs w:val="24"/>
        </w:rPr>
      </w:pPr>
      <w:r>
        <w:br/>
      </w:r>
      <w:r w:rsidRPr="20FF95B9">
        <w:rPr>
          <w:rFonts w:eastAsia="Calibri" w:cs="Calibri"/>
          <w:b/>
          <w:bCs/>
          <w:sz w:val="28"/>
          <w:szCs w:val="28"/>
        </w:rPr>
        <w:t>Prohlášení o dodržování zásady „významně nepoškozovat“</w:t>
      </w:r>
      <w:r>
        <w:br/>
      </w:r>
    </w:p>
    <w:p w14:paraId="2E431365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  <w:r w:rsidRPr="00E010FE">
        <w:rPr>
          <w:szCs w:val="22"/>
        </w:rPr>
        <w:t xml:space="preserve">Nařízení (EU) 2021/241 ze dne 12. února 2021 o Nástroji pro oživení a odolnost dle kterého ČR zpracovala Národní plán obnovy (NPO), stanoví, že žádné opatření zahrnuté do NPO by nemělo vést k významnému poškozování environmentálních cílů, tzv. zásada „do not </w:t>
      </w:r>
      <w:proofErr w:type="spellStart"/>
      <w:r w:rsidRPr="00E010FE">
        <w:rPr>
          <w:szCs w:val="22"/>
        </w:rPr>
        <w:t>significant</w:t>
      </w:r>
      <w:proofErr w:type="spellEnd"/>
      <w:r w:rsidRPr="00E010FE">
        <w:rPr>
          <w:szCs w:val="22"/>
        </w:rPr>
        <w:t xml:space="preserve"> </w:t>
      </w:r>
      <w:proofErr w:type="spellStart"/>
      <w:r w:rsidRPr="00E010FE">
        <w:rPr>
          <w:szCs w:val="22"/>
        </w:rPr>
        <w:t>harm</w:t>
      </w:r>
      <w:proofErr w:type="spellEnd"/>
      <w:r w:rsidRPr="00E010FE">
        <w:rPr>
          <w:szCs w:val="22"/>
        </w:rPr>
        <w:t>“ (DNSH) neboli „významně nepoškozovat“.</w:t>
      </w:r>
    </w:p>
    <w:p w14:paraId="5E4BC8EE" w14:textId="77777777" w:rsidR="00BC2B9B" w:rsidRDefault="00BC2B9B" w:rsidP="00BC2B9B">
      <w:pPr>
        <w:widowControl w:val="0"/>
        <w:spacing w:line="275" w:lineRule="auto"/>
      </w:pPr>
      <w:r>
        <w:t>Dle čl. 17 odst. 2 Nařízení (EU) 2020/852 ze dne 18. června 2020 o zřízení rámce pro usnadnění udržitelných investic a o změně Nařízení (EU) 2019/2088 příjemce popíše, jakým způsobem dochází k dodržování zásady "významně nepoškozovat", tzn. nedochází k porušení ani jednoho z environmentálních cílů.</w:t>
      </w:r>
    </w:p>
    <w:p w14:paraId="1C6837FE" w14:textId="2C933892" w:rsidR="00BC2B9B" w:rsidRPr="00E010FE" w:rsidRDefault="00BC2B9B" w:rsidP="00BC2B9B">
      <w:pPr>
        <w:widowControl w:val="0"/>
        <w:spacing w:line="275" w:lineRule="auto"/>
      </w:pPr>
      <w:r>
        <w:t xml:space="preserve">Dodavatel veřejné zakázky musí uvést vyjádření k 6 environmentálním cílům, včetně zdůvodnění, jaký je předpokládaný dopad </w:t>
      </w:r>
      <w:r w:rsidR="005B5058">
        <w:t>jeho činností</w:t>
      </w:r>
      <w:r>
        <w:t xml:space="preserve"> na tyto cíle.</w:t>
      </w:r>
    </w:p>
    <w:p w14:paraId="6538C378" w14:textId="77777777" w:rsidR="00BC2B9B" w:rsidRPr="00E010FE" w:rsidRDefault="00BC2B9B" w:rsidP="00BC2B9B">
      <w:pPr>
        <w:widowControl w:val="0"/>
        <w:spacing w:line="275" w:lineRule="auto"/>
        <w:rPr>
          <w:szCs w:val="22"/>
        </w:rPr>
      </w:pPr>
    </w:p>
    <w:p w14:paraId="68CA20BC" w14:textId="6E472FAC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A.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Zmírňování změny klimatu</w:t>
      </w:r>
    </w:p>
    <w:p w14:paraId="2D56B220" w14:textId="77777777" w:rsidR="00BC2B9B" w:rsidRPr="00C354C7" w:rsidRDefault="00BC2B9B" w:rsidP="00BC2B9B">
      <w:pPr>
        <w:rPr>
          <w:szCs w:val="22"/>
        </w:rPr>
      </w:pPr>
      <w:r w:rsidRPr="00C354C7">
        <w:rPr>
          <w:szCs w:val="22"/>
        </w:rPr>
        <w:t>Činnost významně poškozuje zmírňování změny klimatu, pokud vede ke značným emisím skleníkových plynů.</w:t>
      </w:r>
    </w:p>
    <w:p w14:paraId="76A403DB" w14:textId="3BFCC90E" w:rsidR="00BC2B9B" w:rsidRPr="00BC2B9B" w:rsidRDefault="00BC2B9B" w:rsidP="00BC2B9B">
      <w:pPr>
        <w:rPr>
          <w:szCs w:val="22"/>
        </w:rPr>
      </w:pPr>
      <w:r w:rsidRPr="00C354C7">
        <w:rPr>
          <w:szCs w:val="22"/>
        </w:rPr>
        <w:t xml:space="preserve">U tohoto cíle není nutné </w:t>
      </w:r>
      <w:r>
        <w:rPr>
          <w:szCs w:val="22"/>
        </w:rPr>
        <w:t>detailní</w:t>
      </w:r>
      <w:r w:rsidRPr="00C354C7">
        <w:rPr>
          <w:szCs w:val="22"/>
        </w:rPr>
        <w:t xml:space="preserve"> zhodnocení, protože činnosti v</w:t>
      </w:r>
      <w:r>
        <w:rPr>
          <w:szCs w:val="22"/>
        </w:rPr>
        <w:t> </w:t>
      </w:r>
      <w:r w:rsidRPr="00C354C7">
        <w:rPr>
          <w:szCs w:val="22"/>
        </w:rPr>
        <w:t>rámci komponenty mají nulový nebo zanedbatelný vliv na cíl.</w:t>
      </w:r>
    </w:p>
    <w:p w14:paraId="43538142" w14:textId="1F356FC4" w:rsidR="00BC2B9B" w:rsidRPr="00C354C7" w:rsidRDefault="00EE71F0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C354C7">
        <w:rPr>
          <w:rFonts w:cs="Calibri"/>
          <w:b/>
          <w:szCs w:val="22"/>
        </w:rPr>
        <w:t>Zmírňování změny klimatu.</w:t>
      </w:r>
    </w:p>
    <w:p w14:paraId="12FF8479" w14:textId="55557434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2F7A5CCB" w14:textId="77777777" w:rsidTr="006966AA">
        <w:tc>
          <w:tcPr>
            <w:tcW w:w="9628" w:type="dxa"/>
          </w:tcPr>
          <w:p w14:paraId="6F89D69E" w14:textId="77777777" w:rsidR="00BC2B9B" w:rsidRPr="00A956DA" w:rsidRDefault="00BC2B9B" w:rsidP="006966AA">
            <w:pPr>
              <w:rPr>
                <w:szCs w:val="22"/>
              </w:rPr>
            </w:pPr>
          </w:p>
          <w:p w14:paraId="15FB623D" w14:textId="77777777" w:rsidR="00BC2B9B" w:rsidRPr="00A956DA" w:rsidRDefault="00BC2B9B" w:rsidP="006966AA">
            <w:pPr>
              <w:rPr>
                <w:szCs w:val="22"/>
              </w:rPr>
            </w:pPr>
          </w:p>
          <w:p w14:paraId="67F474EE" w14:textId="77777777" w:rsidR="00BC2B9B" w:rsidRPr="00A956DA" w:rsidRDefault="00BC2B9B" w:rsidP="006966AA">
            <w:pPr>
              <w:rPr>
                <w:szCs w:val="22"/>
              </w:rPr>
            </w:pPr>
          </w:p>
          <w:p w14:paraId="2836C633" w14:textId="77777777" w:rsidR="00BC2B9B" w:rsidRPr="00A956DA" w:rsidRDefault="00BC2B9B" w:rsidP="006966AA">
            <w:pPr>
              <w:rPr>
                <w:szCs w:val="22"/>
              </w:rPr>
            </w:pPr>
          </w:p>
          <w:p w14:paraId="585E500B" w14:textId="77777777" w:rsidR="00BC2B9B" w:rsidRDefault="00BC2B9B" w:rsidP="006966AA">
            <w:pPr>
              <w:rPr>
                <w:szCs w:val="22"/>
              </w:rPr>
            </w:pPr>
          </w:p>
          <w:p w14:paraId="353194B5" w14:textId="77777777" w:rsidR="00BC2B9B" w:rsidRPr="00A956DA" w:rsidRDefault="00BC2B9B" w:rsidP="006966AA">
            <w:pPr>
              <w:rPr>
                <w:szCs w:val="22"/>
              </w:rPr>
            </w:pPr>
          </w:p>
          <w:p w14:paraId="4A22AE02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4697F7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3408565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7D4A4309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24FABE30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E94E29C" w14:textId="4A57D8EA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B.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Přizpůsobování se změně klimatu</w:t>
      </w:r>
    </w:p>
    <w:p w14:paraId="40C65EDA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Činnost významně poškozuje přizpůsobování se změně klimatu, pokud vede k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nárůstu nepříznivého dopadu stávajícího a</w:t>
      </w:r>
      <w:r>
        <w:rPr>
          <w:rFonts w:asciiTheme="minorHAnsi" w:hAnsiTheme="minorHAnsi" w:cstheme="minorHAnsi"/>
          <w:szCs w:val="22"/>
        </w:rPr>
        <w:t> </w:t>
      </w:r>
      <w:r w:rsidRPr="00C354C7">
        <w:rPr>
          <w:rFonts w:asciiTheme="minorHAnsi" w:hAnsiTheme="minorHAnsi" w:cstheme="minorHAnsi"/>
          <w:szCs w:val="22"/>
        </w:rPr>
        <w:t>očekávaného budoucího klimatu na tuto činnost samotnou nebo na osoby, přírodu nebo aktiva.</w:t>
      </w:r>
    </w:p>
    <w:p w14:paraId="2CA3B3A4" w14:textId="272963AC" w:rsidR="00BC2B9B" w:rsidRPr="00BC2B9B" w:rsidRDefault="00BC2B9B" w:rsidP="00BC2B9B">
      <w:pPr>
        <w:rPr>
          <w:rFonts w:cs="Calibri"/>
          <w:szCs w:val="22"/>
        </w:rPr>
      </w:pPr>
      <w:r w:rsidRPr="00C354C7">
        <w:rPr>
          <w:rFonts w:cs="Calibri"/>
          <w:szCs w:val="22"/>
        </w:rPr>
        <w:t>K významnému poškození cíle, kterým je přizpůsobování se změně klimatu, může dojít buď i) nepřizpůsobením nějaké činnosti nepříznivému dopadu změny klimatu, když u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této činnosti hrozí riziko takového dopadu (např. výstavba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 xml:space="preserve">záplavové oblasti), nebo </w:t>
      </w:r>
      <w:proofErr w:type="spellStart"/>
      <w:r w:rsidRPr="00C354C7">
        <w:rPr>
          <w:rFonts w:cs="Calibri"/>
          <w:szCs w:val="22"/>
        </w:rPr>
        <w:t>ii</w:t>
      </w:r>
      <w:proofErr w:type="spellEnd"/>
      <w:r w:rsidRPr="00C354C7">
        <w:rPr>
          <w:rFonts w:cs="Calibri"/>
          <w:szCs w:val="22"/>
        </w:rPr>
        <w:t>) nesprávným přizpůsobením, když se zavádí řešení zaměřené na přizpůsobení, které chrání jednu oblast („osoby, přírodu nebo majetek“), ale zároveň se zvyšují rizika v</w:t>
      </w:r>
      <w:r>
        <w:rPr>
          <w:rFonts w:cs="Calibri"/>
          <w:szCs w:val="22"/>
        </w:rPr>
        <w:t> </w:t>
      </w:r>
      <w:r w:rsidRPr="00C354C7">
        <w:rPr>
          <w:rFonts w:cs="Calibri"/>
          <w:szCs w:val="22"/>
        </w:rPr>
        <w:t>jiné oblasti.</w:t>
      </w:r>
    </w:p>
    <w:p w14:paraId="7AD41B91" w14:textId="133495D9" w:rsidR="00BC2B9B" w:rsidRPr="00BC2B9B" w:rsidRDefault="00BC2B9B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</w:t>
      </w:r>
      <w:r w:rsidR="00EE71F0">
        <w:rPr>
          <w:rFonts w:cs="Calibri"/>
          <w:b/>
          <w:szCs w:val="22"/>
        </w:rPr>
        <w:t>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Přizpůsobování se změně klimatu.</w:t>
      </w:r>
      <w:r>
        <w:rPr>
          <w:rFonts w:cs="Calibri"/>
          <w:b/>
          <w:szCs w:val="22"/>
        </w:rPr>
        <w:t xml:space="preserve"> </w:t>
      </w:r>
    </w:p>
    <w:p w14:paraId="491A4E5A" w14:textId="5D3AEB0C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7C01F61C" w14:textId="77777777" w:rsidTr="006966AA">
        <w:tc>
          <w:tcPr>
            <w:tcW w:w="9628" w:type="dxa"/>
          </w:tcPr>
          <w:p w14:paraId="113CC08B" w14:textId="77777777" w:rsidR="00BC2B9B" w:rsidRPr="00A956DA" w:rsidRDefault="00BC2B9B" w:rsidP="006966AA">
            <w:pPr>
              <w:rPr>
                <w:szCs w:val="22"/>
              </w:rPr>
            </w:pPr>
          </w:p>
          <w:p w14:paraId="62B352E9" w14:textId="77777777" w:rsidR="00BC2B9B" w:rsidRPr="00A956DA" w:rsidRDefault="00BC2B9B" w:rsidP="006966AA">
            <w:pPr>
              <w:rPr>
                <w:szCs w:val="22"/>
              </w:rPr>
            </w:pPr>
          </w:p>
          <w:p w14:paraId="14809A40" w14:textId="77777777" w:rsidR="00BC2B9B" w:rsidRDefault="00BC2B9B" w:rsidP="006966AA">
            <w:pPr>
              <w:rPr>
                <w:szCs w:val="22"/>
              </w:rPr>
            </w:pPr>
          </w:p>
          <w:p w14:paraId="24AA486B" w14:textId="77777777" w:rsidR="00BC2B9B" w:rsidRPr="00A956DA" w:rsidRDefault="00BC2B9B" w:rsidP="006966AA">
            <w:pPr>
              <w:rPr>
                <w:szCs w:val="22"/>
              </w:rPr>
            </w:pPr>
          </w:p>
          <w:p w14:paraId="33A8E912" w14:textId="77777777" w:rsidR="00BC2B9B" w:rsidRPr="00A956DA" w:rsidRDefault="00BC2B9B" w:rsidP="006966AA">
            <w:pPr>
              <w:rPr>
                <w:szCs w:val="22"/>
              </w:rPr>
            </w:pPr>
          </w:p>
          <w:p w14:paraId="720213DB" w14:textId="77777777" w:rsidR="00BC2B9B" w:rsidRPr="00A956DA" w:rsidRDefault="00BC2B9B" w:rsidP="006966AA">
            <w:pPr>
              <w:rPr>
                <w:szCs w:val="22"/>
              </w:rPr>
            </w:pPr>
          </w:p>
          <w:p w14:paraId="54C09ADD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4B8A9A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937AE7C" w14:textId="38582412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C. </w:t>
      </w:r>
      <w:r>
        <w:rPr>
          <w:rFonts w:eastAsia="Calibri" w:cs="Calibri"/>
          <w:b/>
          <w:sz w:val="24"/>
        </w:rPr>
        <w:tab/>
      </w:r>
      <w:r w:rsidRPr="00A956DA">
        <w:rPr>
          <w:rFonts w:eastAsia="Calibri" w:cs="Calibri"/>
          <w:b/>
          <w:sz w:val="24"/>
        </w:rPr>
        <w:t>Udržitelné využívání a ochrana vodních a mořských zdrojů</w:t>
      </w:r>
    </w:p>
    <w:p w14:paraId="099A0FF6" w14:textId="01967BDA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785AB2">
        <w:rPr>
          <w:rFonts w:asciiTheme="minorHAnsi" w:hAnsiTheme="minorHAnsi" w:cstheme="minorHAnsi"/>
          <w:szCs w:val="22"/>
        </w:rPr>
        <w:t>innost významně poškozuje udržitelné využívání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ochranu vodních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mořských zdrojů, pokud poškozuje dobrý stav nebo dobrý ekologický potenciál vodních útvarů, včetně povrchových a</w:t>
      </w:r>
      <w:r>
        <w:rPr>
          <w:rFonts w:asciiTheme="minorHAnsi" w:hAnsiTheme="minorHAnsi" w:cstheme="minorHAnsi"/>
          <w:szCs w:val="22"/>
        </w:rPr>
        <w:t> </w:t>
      </w:r>
      <w:r w:rsidRPr="00785AB2">
        <w:rPr>
          <w:rFonts w:asciiTheme="minorHAnsi" w:hAnsiTheme="minorHAnsi" w:cstheme="minorHAnsi"/>
          <w:szCs w:val="22"/>
        </w:rPr>
        <w:t>podzemních vod, nebo dobrý stav prostředí mořských vod.</w:t>
      </w:r>
    </w:p>
    <w:p w14:paraId="4E9492C8" w14:textId="2C23384C" w:rsidR="00BC2B9B" w:rsidRPr="00CD2D34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CD2D34">
        <w:rPr>
          <w:rFonts w:cs="Calibri"/>
          <w:b/>
          <w:szCs w:val="22"/>
        </w:rPr>
        <w:t>Udržitelné využívání a ochrana vodních a mořských zdrojů</w:t>
      </w:r>
      <w:r w:rsidR="00BC2B9B" w:rsidRPr="007B457B">
        <w:rPr>
          <w:rFonts w:cs="Calibri"/>
          <w:b/>
          <w:szCs w:val="22"/>
        </w:rPr>
        <w:t>.</w:t>
      </w:r>
    </w:p>
    <w:p w14:paraId="2350DC92" w14:textId="286C91EB" w:rsidR="00BC2B9B" w:rsidRDefault="00BC2B9B" w:rsidP="00BC2B9B">
      <w:pPr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5B20D304" w14:textId="77777777" w:rsidTr="006966AA">
        <w:tc>
          <w:tcPr>
            <w:tcW w:w="9628" w:type="dxa"/>
          </w:tcPr>
          <w:p w14:paraId="702AA2D4" w14:textId="77777777" w:rsidR="00BC2B9B" w:rsidRPr="00A956DA" w:rsidRDefault="00BC2B9B" w:rsidP="006966AA">
            <w:pPr>
              <w:rPr>
                <w:szCs w:val="22"/>
              </w:rPr>
            </w:pPr>
          </w:p>
          <w:p w14:paraId="2EB59E65" w14:textId="77777777" w:rsidR="00BC2B9B" w:rsidRPr="00A956DA" w:rsidRDefault="00BC2B9B" w:rsidP="006966AA">
            <w:pPr>
              <w:rPr>
                <w:szCs w:val="22"/>
              </w:rPr>
            </w:pPr>
          </w:p>
          <w:p w14:paraId="088A5A71" w14:textId="77777777" w:rsidR="00BC2B9B" w:rsidRPr="00A956DA" w:rsidRDefault="00BC2B9B" w:rsidP="006966AA">
            <w:pPr>
              <w:rPr>
                <w:szCs w:val="22"/>
              </w:rPr>
            </w:pPr>
          </w:p>
          <w:p w14:paraId="3EBC5B0C" w14:textId="77777777" w:rsidR="00BC2B9B" w:rsidRPr="00A956DA" w:rsidRDefault="00BC2B9B" w:rsidP="006966AA">
            <w:pPr>
              <w:rPr>
                <w:szCs w:val="22"/>
              </w:rPr>
            </w:pPr>
          </w:p>
          <w:p w14:paraId="5AFDA576" w14:textId="77777777" w:rsidR="00BC2B9B" w:rsidRDefault="00BC2B9B" w:rsidP="006966AA">
            <w:pPr>
              <w:rPr>
                <w:szCs w:val="22"/>
              </w:rPr>
            </w:pPr>
          </w:p>
          <w:p w14:paraId="4FC1925B" w14:textId="77777777" w:rsidR="00BC2B9B" w:rsidRPr="00A956DA" w:rsidRDefault="00BC2B9B" w:rsidP="006966AA">
            <w:pPr>
              <w:rPr>
                <w:szCs w:val="22"/>
              </w:rPr>
            </w:pPr>
          </w:p>
          <w:p w14:paraId="50189BE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4C16D9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231546DE" w14:textId="77777777" w:rsidR="00BC2B9B" w:rsidRDefault="00BC2B9B" w:rsidP="00BC2B9B">
      <w:pPr>
        <w:rPr>
          <w:rFonts w:asciiTheme="minorHAnsi" w:hAnsiTheme="minorHAnsi" w:cstheme="minorHAnsi"/>
          <w:szCs w:val="22"/>
        </w:rPr>
      </w:pPr>
    </w:p>
    <w:p w14:paraId="4D4EEDBD" w14:textId="3D02AE5C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FB971BE" w14:textId="6DF5965E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D.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Oběhové hospodářství včetně předcházení vzniku odpadů a recyklace</w:t>
      </w:r>
    </w:p>
    <w:p w14:paraId="7F6B6487" w14:textId="1D4EAAA7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E90FD2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E90FD2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významné nehospodárnosti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používání materiálů nebo v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přímém nebo nepřímém využívání přírodních zdrojů nebo pokud významně přispívá ke vzniku, spalování nebo odstraňování odpadu nebo pokud dlouhodobé odstraňování odpadu může způsobit významné a</w:t>
      </w:r>
      <w:r>
        <w:rPr>
          <w:rFonts w:asciiTheme="minorHAnsi" w:hAnsiTheme="minorHAnsi" w:cstheme="minorHAnsi"/>
          <w:szCs w:val="22"/>
        </w:rPr>
        <w:t> </w:t>
      </w:r>
      <w:r w:rsidRPr="00E90FD2">
        <w:rPr>
          <w:rFonts w:asciiTheme="minorHAnsi" w:hAnsiTheme="minorHAnsi" w:cstheme="minorHAnsi"/>
          <w:szCs w:val="22"/>
        </w:rPr>
        <w:t>dlouhodobé škody na životním prostředí.</w:t>
      </w:r>
    </w:p>
    <w:p w14:paraId="55FC7924" w14:textId="78EE317E" w:rsid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</w:t>
      </w:r>
      <w:r w:rsidRPr="00C354C7">
        <w:rPr>
          <w:rFonts w:cs="Calibri"/>
          <w:b/>
          <w:szCs w:val="22"/>
        </w:rPr>
        <w:t xml:space="preserve"> </w:t>
      </w:r>
      <w:r w:rsidR="00BC2B9B" w:rsidRPr="00E90FD2">
        <w:rPr>
          <w:rFonts w:asciiTheme="minorHAnsi" w:hAnsiTheme="minorHAnsi" w:cstheme="minorHAnsi"/>
          <w:b/>
          <w:szCs w:val="22"/>
        </w:rPr>
        <w:t>Oběhové hospodářství včetně předcházení vzniku odpadů a</w:t>
      </w:r>
      <w:r w:rsidR="00BC2B9B">
        <w:rPr>
          <w:rFonts w:asciiTheme="minorHAnsi" w:hAnsiTheme="minorHAnsi" w:cstheme="minorHAnsi"/>
          <w:b/>
          <w:szCs w:val="22"/>
        </w:rPr>
        <w:t> </w:t>
      </w:r>
      <w:r w:rsidR="00BC2B9B" w:rsidRPr="00E90FD2">
        <w:rPr>
          <w:rFonts w:asciiTheme="minorHAnsi" w:hAnsiTheme="minorHAnsi" w:cstheme="minorHAnsi"/>
          <w:b/>
          <w:szCs w:val="22"/>
        </w:rPr>
        <w:t>recyklace</w:t>
      </w:r>
      <w:r w:rsidR="00BC2B9B" w:rsidRPr="007B457B">
        <w:rPr>
          <w:rFonts w:cs="Calibri"/>
          <w:b/>
          <w:szCs w:val="22"/>
        </w:rPr>
        <w:t>.</w:t>
      </w:r>
      <w:r w:rsidR="00BC2B9B">
        <w:rPr>
          <w:rFonts w:cs="Calibri"/>
          <w:b/>
          <w:szCs w:val="22"/>
        </w:rPr>
        <w:t xml:space="preserve"> </w:t>
      </w:r>
    </w:p>
    <w:p w14:paraId="51C03BB5" w14:textId="77777777" w:rsid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 xml:space="preserve">V případě veřejných zakázek na nákup ICT zařízení je zajištěn soulad </w:t>
      </w:r>
      <w:r w:rsidRPr="00B452CB">
        <w:rPr>
          <w:b/>
          <w:iCs/>
          <w:szCs w:val="22"/>
        </w:rPr>
        <w:t>s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kritérii EU pro zelené veřejné zakázky</w:t>
      </w:r>
      <w:r>
        <w:rPr>
          <w:rStyle w:val="Znakapoznpodarou"/>
          <w:b/>
          <w:iCs/>
          <w:szCs w:val="22"/>
        </w:rPr>
        <w:footnoteReference w:id="1"/>
      </w:r>
      <w:r>
        <w:rPr>
          <w:b/>
          <w:iCs/>
          <w:szCs w:val="22"/>
        </w:rPr>
        <w:t xml:space="preserve"> v této oblasti</w:t>
      </w:r>
      <w:r w:rsidRPr="00B452CB">
        <w:rPr>
          <w:b/>
          <w:iCs/>
          <w:szCs w:val="22"/>
        </w:rPr>
        <w:t xml:space="preserve"> a/nebo </w:t>
      </w:r>
      <w:r>
        <w:rPr>
          <w:b/>
          <w:iCs/>
          <w:szCs w:val="22"/>
        </w:rPr>
        <w:t>jsou</w:t>
      </w:r>
      <w:r w:rsidRPr="00B452CB">
        <w:rPr>
          <w:b/>
          <w:iCs/>
          <w:szCs w:val="22"/>
        </w:rPr>
        <w:t xml:space="preserve"> zajištěny požadavky na energetickou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materiálovou účinnost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požadavky na recyklaci stanovené v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souladu se směrnicí 2009/125/ES</w:t>
      </w:r>
      <w:r>
        <w:rPr>
          <w:rStyle w:val="Znakapoznpodarou"/>
          <w:b/>
          <w:iCs/>
          <w:szCs w:val="22"/>
        </w:rPr>
        <w:footnoteReference w:id="2"/>
      </w:r>
      <w:r w:rsidRPr="00B452CB">
        <w:rPr>
          <w:b/>
          <w:iCs/>
          <w:szCs w:val="22"/>
        </w:rPr>
        <w:t>, směrnicí 2011/65/EU</w:t>
      </w:r>
      <w:r>
        <w:rPr>
          <w:rStyle w:val="Znakapoznpodarou"/>
          <w:b/>
          <w:iCs/>
          <w:szCs w:val="22"/>
        </w:rPr>
        <w:footnoteReference w:id="3"/>
      </w:r>
      <w:r w:rsidRPr="00B452CB">
        <w:rPr>
          <w:b/>
          <w:iCs/>
          <w:szCs w:val="22"/>
        </w:rPr>
        <w:t xml:space="preserve"> a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směrnicí 2021/19/EU</w:t>
      </w:r>
      <w:r>
        <w:rPr>
          <w:rStyle w:val="Znakapoznpodarou"/>
          <w:b/>
          <w:iCs/>
          <w:szCs w:val="22"/>
        </w:rPr>
        <w:footnoteReference w:id="4"/>
      </w:r>
      <w:r w:rsidRPr="00B452CB">
        <w:rPr>
          <w:b/>
          <w:iCs/>
          <w:szCs w:val="22"/>
        </w:rPr>
        <w:t xml:space="preserve">.  </w:t>
      </w:r>
    </w:p>
    <w:p w14:paraId="0C01D405" w14:textId="68A8A8D3" w:rsidR="00BC2B9B" w:rsidRPr="00BC2B9B" w:rsidRDefault="00BC2B9B" w:rsidP="00BC2B9B">
      <w:pPr>
        <w:rPr>
          <w:b/>
          <w:iCs/>
          <w:szCs w:val="22"/>
        </w:rPr>
      </w:pPr>
      <w:r>
        <w:rPr>
          <w:b/>
          <w:iCs/>
          <w:szCs w:val="22"/>
        </w:rPr>
        <w:t>Prohlašuji, že s p</w:t>
      </w:r>
      <w:r w:rsidRPr="00B452CB">
        <w:rPr>
          <w:b/>
          <w:iCs/>
          <w:szCs w:val="22"/>
        </w:rPr>
        <w:t>ořízen</w:t>
      </w:r>
      <w:r>
        <w:rPr>
          <w:b/>
          <w:iCs/>
          <w:szCs w:val="22"/>
        </w:rPr>
        <w:t>ým</w:t>
      </w:r>
      <w:r w:rsidRPr="00B452CB">
        <w:rPr>
          <w:b/>
          <w:iCs/>
          <w:szCs w:val="22"/>
        </w:rPr>
        <w:t xml:space="preserve"> IT vybavení</w:t>
      </w:r>
      <w:r>
        <w:rPr>
          <w:b/>
          <w:iCs/>
          <w:szCs w:val="22"/>
        </w:rPr>
        <w:t>m</w:t>
      </w:r>
      <w:r w:rsidRPr="00B452CB">
        <w:rPr>
          <w:b/>
          <w:iCs/>
          <w:szCs w:val="22"/>
        </w:rPr>
        <w:t xml:space="preserve"> bude po skončení životnosti</w:t>
      </w:r>
      <w:r>
        <w:rPr>
          <w:b/>
          <w:iCs/>
          <w:szCs w:val="22"/>
        </w:rPr>
        <w:t xml:space="preserve"> nakládáno v souladu s příslušnou legislativou,</w:t>
      </w:r>
      <w:r w:rsidRPr="00B452CB">
        <w:rPr>
          <w:b/>
          <w:iCs/>
          <w:szCs w:val="22"/>
        </w:rPr>
        <w:t xml:space="preserve"> bude předáno oprávněným subjektům k</w:t>
      </w:r>
      <w:r>
        <w:rPr>
          <w:b/>
          <w:iCs/>
          <w:szCs w:val="22"/>
        </w:rPr>
        <w:t> </w:t>
      </w:r>
      <w:r w:rsidRPr="00B452CB">
        <w:rPr>
          <w:b/>
          <w:iCs/>
          <w:szCs w:val="22"/>
        </w:rPr>
        <w:t>likvidaci</w:t>
      </w:r>
      <w:r>
        <w:rPr>
          <w:b/>
          <w:iCs/>
          <w:szCs w:val="22"/>
        </w:rPr>
        <w:t xml:space="preserve"> či bude zajištěna jeho recyklace.</w:t>
      </w:r>
    </w:p>
    <w:p w14:paraId="5F59BCED" w14:textId="29618597" w:rsidR="00BC2B9B" w:rsidRPr="00BC2B9B" w:rsidRDefault="00BC2B9B" w:rsidP="00BC2B9B">
      <w:pPr>
        <w:rPr>
          <w:iCs/>
          <w:szCs w:val="22"/>
        </w:rPr>
      </w:pPr>
      <w:r w:rsidRPr="00C354C7">
        <w:rPr>
          <w:rFonts w:asciiTheme="minorHAnsi" w:hAnsiTheme="minorHAnsi" w:cstheme="minorHAnsi"/>
          <w:szCs w:val="22"/>
        </w:rPr>
        <w:t>Z</w:t>
      </w:r>
      <w:r w:rsidRPr="00917199">
        <w:rPr>
          <w:iCs/>
          <w:szCs w:val="22"/>
        </w:rPr>
        <w:t>důvodnění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74906812" w14:textId="77777777" w:rsidTr="006966AA">
        <w:tc>
          <w:tcPr>
            <w:tcW w:w="9628" w:type="dxa"/>
          </w:tcPr>
          <w:p w14:paraId="10B1C7D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4C1A43" w14:textId="77777777" w:rsidR="00BC2B9B" w:rsidRPr="00A956DA" w:rsidRDefault="00BC2B9B" w:rsidP="006966AA">
            <w:pPr>
              <w:rPr>
                <w:szCs w:val="22"/>
              </w:rPr>
            </w:pPr>
          </w:p>
          <w:p w14:paraId="759834AF" w14:textId="77777777" w:rsidR="00BC2B9B" w:rsidRPr="00A956DA" w:rsidRDefault="00BC2B9B" w:rsidP="006966AA">
            <w:pPr>
              <w:rPr>
                <w:szCs w:val="22"/>
              </w:rPr>
            </w:pPr>
          </w:p>
          <w:p w14:paraId="6B2A0E30" w14:textId="77777777" w:rsidR="00BC2B9B" w:rsidRDefault="00BC2B9B" w:rsidP="006966AA">
            <w:pPr>
              <w:rPr>
                <w:szCs w:val="22"/>
              </w:rPr>
            </w:pPr>
          </w:p>
          <w:p w14:paraId="476F47F0" w14:textId="77777777" w:rsidR="00BC2B9B" w:rsidRPr="00A956DA" w:rsidRDefault="00BC2B9B" w:rsidP="006966AA">
            <w:pPr>
              <w:rPr>
                <w:szCs w:val="22"/>
              </w:rPr>
            </w:pPr>
          </w:p>
          <w:p w14:paraId="1327AFD0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B27AB3" w14:textId="77777777" w:rsidR="00BC2B9B" w:rsidRDefault="00BC2B9B" w:rsidP="00BC2B9B">
      <w:pPr>
        <w:rPr>
          <w:rFonts w:asciiTheme="minorHAnsi" w:eastAsiaTheme="minorEastAsia" w:hAnsiTheme="minorHAnsi" w:cstheme="minorBidi"/>
        </w:rPr>
      </w:pPr>
    </w:p>
    <w:p w14:paraId="4DCC6DE8" w14:textId="2FCF4123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E.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Prevence a omezování znečištění ovzduší, vody nebo půdy</w:t>
      </w:r>
    </w:p>
    <w:p w14:paraId="653C0A5C" w14:textId="6826B3DE" w:rsidR="00BC2B9B" w:rsidRPr="00BC2B9B" w:rsidRDefault="00BC2B9B" w:rsidP="00BC2B9B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Č</w:t>
      </w:r>
      <w:r w:rsidRPr="00B97FE8">
        <w:rPr>
          <w:rFonts w:asciiTheme="minorHAnsi" w:hAnsiTheme="minorHAnsi" w:cstheme="minorHAnsi"/>
          <w:szCs w:val="22"/>
        </w:rPr>
        <w:t xml:space="preserve">innost významně poškozuje </w:t>
      </w:r>
      <w:r>
        <w:rPr>
          <w:rFonts w:asciiTheme="minorHAnsi" w:hAnsiTheme="minorHAnsi" w:cstheme="minorHAnsi"/>
          <w:szCs w:val="22"/>
        </w:rPr>
        <w:t>tento environmentální cíl</w:t>
      </w:r>
      <w:r w:rsidRPr="00B97FE8">
        <w:rPr>
          <w:rFonts w:asciiTheme="minorHAnsi" w:hAnsiTheme="minorHAnsi" w:cstheme="minorHAnsi"/>
          <w:szCs w:val="22"/>
        </w:rPr>
        <w:t>, pokud vede k</w:t>
      </w:r>
      <w:r>
        <w:rPr>
          <w:rFonts w:asciiTheme="minorHAnsi" w:hAnsiTheme="minorHAnsi" w:cstheme="minorHAnsi"/>
          <w:szCs w:val="22"/>
        </w:rPr>
        <w:t> </w:t>
      </w:r>
      <w:r w:rsidRPr="00B97FE8">
        <w:rPr>
          <w:rFonts w:asciiTheme="minorHAnsi" w:hAnsiTheme="minorHAnsi" w:cstheme="minorHAnsi"/>
          <w:szCs w:val="22"/>
        </w:rPr>
        <w:t>významnému zvýšení emisí znečišťujících látek do ovzduší, vody nebo půdy.</w:t>
      </w:r>
    </w:p>
    <w:p w14:paraId="2E286541" w14:textId="7453C49A" w:rsidR="00BC2B9B" w:rsidRPr="00BC2B9B" w:rsidRDefault="00EE71F0" w:rsidP="00BC2B9B">
      <w:pPr>
        <w:rPr>
          <w:rFonts w:cs="Calibr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 w:rsidRPr="00761D71">
        <w:rPr>
          <w:rFonts w:cs="Calibri"/>
          <w:b/>
          <w:szCs w:val="22"/>
        </w:rPr>
        <w:t>Prevence a</w:t>
      </w:r>
      <w:r w:rsidR="00BC2B9B">
        <w:rPr>
          <w:rFonts w:cs="Calibri"/>
          <w:b/>
          <w:szCs w:val="22"/>
        </w:rPr>
        <w:t> </w:t>
      </w:r>
      <w:r w:rsidR="00BC2B9B" w:rsidRPr="00761D71">
        <w:rPr>
          <w:rFonts w:cs="Calibri"/>
          <w:b/>
          <w:szCs w:val="22"/>
        </w:rPr>
        <w:t xml:space="preserve">omezování znečištění ovzduší, vody nebo půdy. </w:t>
      </w:r>
    </w:p>
    <w:p w14:paraId="3564BA13" w14:textId="70F45689" w:rsidR="00BC2B9B" w:rsidRDefault="00BC2B9B" w:rsidP="00BC2B9B">
      <w:pPr>
        <w:tabs>
          <w:tab w:val="left" w:pos="5362"/>
        </w:tabs>
        <w:rPr>
          <w:rFonts w:asciiTheme="minorHAnsi" w:hAnsiTheme="minorHAnsi" w:cstheme="minorHAnsi"/>
          <w:szCs w:val="22"/>
        </w:rPr>
      </w:pPr>
      <w:r w:rsidRPr="00C354C7">
        <w:rPr>
          <w:rFonts w:asciiTheme="minorHAnsi" w:hAnsiTheme="minorHAnsi" w:cstheme="minorHAnsi"/>
          <w:szCs w:val="22"/>
        </w:rPr>
        <w:t>Zdůvodnění</w:t>
      </w:r>
      <w:r>
        <w:rPr>
          <w:rFonts w:asciiTheme="minorHAnsi" w:hAnsiTheme="minorHAnsi" w:cstheme="minorHAnsi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1F66D76D" w14:textId="77777777" w:rsidTr="006966AA">
        <w:tc>
          <w:tcPr>
            <w:tcW w:w="9628" w:type="dxa"/>
          </w:tcPr>
          <w:p w14:paraId="74434989" w14:textId="77777777" w:rsidR="00BC2B9B" w:rsidRPr="00A956DA" w:rsidRDefault="00BC2B9B" w:rsidP="006966AA">
            <w:pPr>
              <w:rPr>
                <w:szCs w:val="22"/>
              </w:rPr>
            </w:pPr>
          </w:p>
          <w:p w14:paraId="5468F66B" w14:textId="77777777" w:rsidR="00BC2B9B" w:rsidRPr="00A956DA" w:rsidRDefault="00BC2B9B" w:rsidP="006966AA">
            <w:pPr>
              <w:rPr>
                <w:szCs w:val="22"/>
              </w:rPr>
            </w:pPr>
          </w:p>
          <w:p w14:paraId="59C24534" w14:textId="77777777" w:rsidR="00BC2B9B" w:rsidRPr="00A956DA" w:rsidRDefault="00BC2B9B" w:rsidP="006966AA">
            <w:pPr>
              <w:rPr>
                <w:szCs w:val="22"/>
              </w:rPr>
            </w:pPr>
          </w:p>
          <w:p w14:paraId="0CE5D008" w14:textId="77777777" w:rsidR="00BC2B9B" w:rsidRPr="00A956DA" w:rsidRDefault="00BC2B9B" w:rsidP="006966AA">
            <w:pPr>
              <w:rPr>
                <w:szCs w:val="22"/>
              </w:rPr>
            </w:pPr>
          </w:p>
          <w:p w14:paraId="676A8B36" w14:textId="77777777" w:rsidR="00BC2B9B" w:rsidRPr="00A956DA" w:rsidRDefault="00BC2B9B" w:rsidP="006966AA">
            <w:pPr>
              <w:rPr>
                <w:szCs w:val="22"/>
              </w:rPr>
            </w:pPr>
          </w:p>
          <w:p w14:paraId="7D6B7B51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FCA979D" w14:textId="77777777" w:rsidR="00BC2B9B" w:rsidRDefault="00BC2B9B" w:rsidP="00BC2B9B">
      <w:pPr>
        <w:rPr>
          <w:rFonts w:asciiTheme="minorHAnsi" w:hAnsiTheme="minorHAnsi" w:cstheme="minorBidi"/>
        </w:rPr>
      </w:pPr>
    </w:p>
    <w:p w14:paraId="1CDAC170" w14:textId="7633BB46" w:rsidR="00BC2B9B" w:rsidRPr="00BC2B9B" w:rsidRDefault="00BC2B9B" w:rsidP="00BC2B9B">
      <w:pPr>
        <w:shd w:val="clear" w:color="auto" w:fill="DEEAF6" w:themeFill="accent1" w:themeFillTint="33"/>
        <w:spacing w:line="276" w:lineRule="auto"/>
        <w:ind w:left="426" w:hanging="426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 xml:space="preserve">F. </w:t>
      </w:r>
      <w:r>
        <w:rPr>
          <w:rFonts w:eastAsia="Calibri" w:cs="Calibri"/>
          <w:b/>
          <w:sz w:val="24"/>
        </w:rPr>
        <w:tab/>
      </w:r>
      <w:r w:rsidRPr="0080365A">
        <w:rPr>
          <w:rFonts w:eastAsia="Calibri" w:cs="Calibri"/>
          <w:b/>
          <w:sz w:val="24"/>
        </w:rPr>
        <w:t>Ochrana a obnova biologické rozmanitosti a ekosystémů</w:t>
      </w:r>
    </w:p>
    <w:p w14:paraId="00DF1EDA" w14:textId="1908806E" w:rsidR="00BC2B9B" w:rsidRDefault="00BC2B9B" w:rsidP="00BC2B9B">
      <w:pPr>
        <w:rPr>
          <w:szCs w:val="22"/>
        </w:rPr>
      </w:pPr>
      <w:r>
        <w:rPr>
          <w:szCs w:val="22"/>
        </w:rPr>
        <w:t>Č</w:t>
      </w:r>
      <w:r w:rsidRPr="00EA781C">
        <w:rPr>
          <w:szCs w:val="22"/>
        </w:rPr>
        <w:t>innost významně poškozuje ochranu a</w:t>
      </w:r>
      <w:r>
        <w:rPr>
          <w:szCs w:val="22"/>
        </w:rPr>
        <w:t> </w:t>
      </w:r>
      <w:r w:rsidRPr="00EA781C">
        <w:rPr>
          <w:szCs w:val="22"/>
        </w:rPr>
        <w:t>obnovu biologické rozmanitosti a</w:t>
      </w:r>
      <w:r>
        <w:rPr>
          <w:szCs w:val="22"/>
        </w:rPr>
        <w:t> </w:t>
      </w:r>
      <w:r w:rsidRPr="00EA781C">
        <w:rPr>
          <w:szCs w:val="22"/>
        </w:rPr>
        <w:t>ekosystémů, pokud ve významné míře poškozuje dobrý stav a</w:t>
      </w:r>
      <w:r>
        <w:rPr>
          <w:szCs w:val="22"/>
        </w:rPr>
        <w:t> </w:t>
      </w:r>
      <w:r w:rsidRPr="00EA781C">
        <w:rPr>
          <w:szCs w:val="22"/>
        </w:rPr>
        <w:t>odolnost ekosystémů nebo poškozuje stav stanovišť a</w:t>
      </w:r>
      <w:r>
        <w:rPr>
          <w:szCs w:val="22"/>
        </w:rPr>
        <w:t> </w:t>
      </w:r>
      <w:r w:rsidRPr="00EA781C">
        <w:rPr>
          <w:szCs w:val="22"/>
        </w:rPr>
        <w:t>druhů z</w:t>
      </w:r>
      <w:r>
        <w:rPr>
          <w:szCs w:val="22"/>
        </w:rPr>
        <w:t> </w:t>
      </w:r>
      <w:r w:rsidRPr="00EA781C">
        <w:rPr>
          <w:szCs w:val="22"/>
        </w:rPr>
        <w:t>hlediska jejich ochrany, a</w:t>
      </w:r>
      <w:r>
        <w:rPr>
          <w:szCs w:val="22"/>
        </w:rPr>
        <w:t> </w:t>
      </w:r>
      <w:r w:rsidRPr="00EA781C">
        <w:rPr>
          <w:szCs w:val="22"/>
        </w:rPr>
        <w:t>to včetně těch, které jsou v</w:t>
      </w:r>
      <w:r>
        <w:rPr>
          <w:szCs w:val="22"/>
        </w:rPr>
        <w:t> </w:t>
      </w:r>
      <w:r w:rsidRPr="00EA781C">
        <w:rPr>
          <w:szCs w:val="22"/>
        </w:rPr>
        <w:t xml:space="preserve">zájmu </w:t>
      </w:r>
      <w:r>
        <w:rPr>
          <w:szCs w:val="22"/>
        </w:rPr>
        <w:t>Evropské u</w:t>
      </w:r>
      <w:r w:rsidRPr="00EA781C">
        <w:rPr>
          <w:szCs w:val="22"/>
        </w:rPr>
        <w:t>nie.</w:t>
      </w:r>
    </w:p>
    <w:p w14:paraId="7E5DC983" w14:textId="5D4A5B65" w:rsidR="00BC2B9B" w:rsidRPr="00BC2B9B" w:rsidRDefault="00EE71F0" w:rsidP="00BC2B9B">
      <w:pPr>
        <w:rPr>
          <w:rFonts w:asciiTheme="minorHAnsi" w:hAnsiTheme="minorHAnsi" w:cstheme="minorHAnsi"/>
          <w:b/>
          <w:szCs w:val="22"/>
        </w:rPr>
      </w:pPr>
      <w:r w:rsidRPr="00C354C7">
        <w:rPr>
          <w:rFonts w:cs="Calibri"/>
          <w:b/>
          <w:szCs w:val="22"/>
        </w:rPr>
        <w:t xml:space="preserve">Prohlašuji, že </w:t>
      </w:r>
      <w:r>
        <w:rPr>
          <w:rFonts w:cs="Calibri"/>
          <w:b/>
          <w:szCs w:val="22"/>
        </w:rPr>
        <w:t>činnosti vedoucí k naplnění předmětu veřejné zakázky</w:t>
      </w:r>
      <w:r w:rsidRPr="00C354C7">
        <w:rPr>
          <w:rFonts w:cs="Calibri"/>
          <w:b/>
          <w:szCs w:val="22"/>
        </w:rPr>
        <w:t xml:space="preserve"> významně nepoškozuj</w:t>
      </w:r>
      <w:r>
        <w:rPr>
          <w:rFonts w:cs="Calibri"/>
          <w:b/>
          <w:szCs w:val="22"/>
        </w:rPr>
        <w:t>í</w:t>
      </w:r>
      <w:r w:rsidRPr="00C354C7">
        <w:rPr>
          <w:rFonts w:cs="Calibri"/>
          <w:b/>
          <w:szCs w:val="22"/>
        </w:rPr>
        <w:t xml:space="preserve"> environmentální</w:t>
      </w:r>
      <w:r>
        <w:rPr>
          <w:rFonts w:cs="Calibri"/>
          <w:b/>
          <w:szCs w:val="22"/>
        </w:rPr>
        <w:t xml:space="preserve"> cíl </w:t>
      </w:r>
      <w:r w:rsidR="00BC2B9B">
        <w:rPr>
          <w:rFonts w:cs="Calibri"/>
          <w:b/>
          <w:szCs w:val="22"/>
        </w:rPr>
        <w:t>Ochrana a obnova biologické rozmanitosti a ekosystémů</w:t>
      </w:r>
      <w:r w:rsidR="00BC2B9B" w:rsidRPr="007B457B">
        <w:rPr>
          <w:rFonts w:cs="Calibri"/>
          <w:b/>
          <w:szCs w:val="22"/>
        </w:rPr>
        <w:t>.</w:t>
      </w:r>
    </w:p>
    <w:p w14:paraId="3812111E" w14:textId="511E0F35" w:rsidR="00BC2B9B" w:rsidRPr="00BC2B9B" w:rsidRDefault="00BC2B9B" w:rsidP="00BC2B9B">
      <w:pPr>
        <w:rPr>
          <w:rFonts w:asciiTheme="minorHAnsi" w:hAnsiTheme="minorHAnsi" w:cstheme="minorBidi"/>
        </w:rPr>
      </w:pPr>
      <w:r w:rsidRPr="20FF95B9">
        <w:rPr>
          <w:rFonts w:asciiTheme="minorHAnsi" w:hAnsiTheme="minorHAnsi" w:cstheme="minorBidi"/>
        </w:rPr>
        <w:t xml:space="preserve">Zdůvodnění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8"/>
      </w:tblGrid>
      <w:tr w:rsidR="00BC2B9B" w14:paraId="109E2D93" w14:textId="77777777" w:rsidTr="006966AA">
        <w:tc>
          <w:tcPr>
            <w:tcW w:w="9628" w:type="dxa"/>
          </w:tcPr>
          <w:p w14:paraId="28278896" w14:textId="77777777" w:rsidR="00BC2B9B" w:rsidRPr="00A956DA" w:rsidRDefault="00BC2B9B" w:rsidP="006966AA">
            <w:pPr>
              <w:rPr>
                <w:szCs w:val="22"/>
              </w:rPr>
            </w:pPr>
          </w:p>
          <w:p w14:paraId="0FAFB06C" w14:textId="77777777" w:rsidR="00BC2B9B" w:rsidRPr="00A956DA" w:rsidRDefault="00BC2B9B" w:rsidP="006966AA">
            <w:pPr>
              <w:rPr>
                <w:szCs w:val="22"/>
              </w:rPr>
            </w:pPr>
          </w:p>
          <w:p w14:paraId="620FCF1D" w14:textId="77777777" w:rsidR="00BC2B9B" w:rsidRPr="00A956DA" w:rsidRDefault="00BC2B9B" w:rsidP="006966AA">
            <w:pPr>
              <w:rPr>
                <w:szCs w:val="22"/>
              </w:rPr>
            </w:pPr>
          </w:p>
          <w:p w14:paraId="13896800" w14:textId="77777777" w:rsidR="00BC2B9B" w:rsidRDefault="00BC2B9B" w:rsidP="006966AA">
            <w:pPr>
              <w:rPr>
                <w:szCs w:val="22"/>
              </w:rPr>
            </w:pPr>
          </w:p>
          <w:p w14:paraId="19678106" w14:textId="77777777" w:rsidR="00BC2B9B" w:rsidRPr="00A956DA" w:rsidRDefault="00BC2B9B" w:rsidP="006966AA">
            <w:pPr>
              <w:rPr>
                <w:szCs w:val="22"/>
              </w:rPr>
            </w:pPr>
          </w:p>
          <w:p w14:paraId="32CD7F6C" w14:textId="77777777" w:rsidR="00BC2B9B" w:rsidRDefault="00BC2B9B" w:rsidP="006966A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4723FD" w14:textId="77777777" w:rsidR="00BC2B9B" w:rsidRPr="00C354C7" w:rsidRDefault="00BC2B9B" w:rsidP="00BC2B9B">
      <w:pPr>
        <w:rPr>
          <w:rFonts w:asciiTheme="minorHAnsi" w:hAnsiTheme="minorHAnsi" w:cstheme="minorHAnsi"/>
          <w:szCs w:val="22"/>
        </w:rPr>
      </w:pPr>
    </w:p>
    <w:p w14:paraId="580FF0B9" w14:textId="77777777" w:rsidR="00BC2B9B" w:rsidRPr="00C354C7" w:rsidRDefault="00BC2B9B" w:rsidP="00BC2B9B">
      <w:pPr>
        <w:rPr>
          <w:szCs w:val="22"/>
        </w:rPr>
      </w:pPr>
    </w:p>
    <w:tbl>
      <w:tblPr>
        <w:tblStyle w:val="Mkatabulky"/>
        <w:tblW w:w="8897" w:type="dxa"/>
        <w:tblLayout w:type="fixed"/>
        <w:tblLook w:val="0600" w:firstRow="0" w:lastRow="0" w:firstColumn="0" w:lastColumn="0" w:noHBand="1" w:noVBand="1"/>
      </w:tblPr>
      <w:tblGrid>
        <w:gridCol w:w="3549"/>
        <w:gridCol w:w="5348"/>
      </w:tblGrid>
      <w:tr w:rsidR="00BC2B9B" w14:paraId="5D917854" w14:textId="77777777" w:rsidTr="00EE71F0">
        <w:trPr>
          <w:trHeight w:val="315"/>
        </w:trPr>
        <w:tc>
          <w:tcPr>
            <w:tcW w:w="3549" w:type="dxa"/>
          </w:tcPr>
          <w:p w14:paraId="7692C930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Obchodní firma</w:t>
            </w:r>
          </w:p>
        </w:tc>
        <w:tc>
          <w:tcPr>
            <w:tcW w:w="5348" w:type="dxa"/>
          </w:tcPr>
          <w:p w14:paraId="1D8939DD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83D2A6C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  <w:tr w:rsidR="00BC2B9B" w14:paraId="27A72F56" w14:textId="77777777" w:rsidTr="00EE71F0">
        <w:trPr>
          <w:trHeight w:val="315"/>
        </w:trPr>
        <w:tc>
          <w:tcPr>
            <w:tcW w:w="3549" w:type="dxa"/>
          </w:tcPr>
          <w:p w14:paraId="30C21B8A" w14:textId="77777777" w:rsidR="00BC2B9B" w:rsidRPr="000F2425" w:rsidRDefault="00BC2B9B" w:rsidP="006966AA">
            <w:pPr>
              <w:widowControl w:val="0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Jméno a podpis osoby oprávněné jednat jménem či za dodavatele</w:t>
            </w:r>
          </w:p>
        </w:tc>
        <w:tc>
          <w:tcPr>
            <w:tcW w:w="5348" w:type="dxa"/>
          </w:tcPr>
          <w:p w14:paraId="5305E634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7981449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  <w:p w14:paraId="21A73BA0" w14:textId="77777777" w:rsidR="00BC2B9B" w:rsidRDefault="00BC2B9B" w:rsidP="006966AA">
            <w:pPr>
              <w:widowControl w:val="0"/>
              <w:spacing w:line="276" w:lineRule="auto"/>
              <w:rPr>
                <w:rFonts w:cs="Calibri"/>
              </w:rPr>
            </w:pPr>
          </w:p>
        </w:tc>
      </w:tr>
    </w:tbl>
    <w:p w14:paraId="53CFB149" w14:textId="77777777" w:rsidR="00BC2B9B" w:rsidRPr="00C354C7" w:rsidRDefault="00BC2B9B" w:rsidP="00BC2B9B">
      <w:pPr>
        <w:rPr>
          <w:szCs w:val="22"/>
        </w:rPr>
      </w:pPr>
    </w:p>
    <w:sectPr w:rsidR="00BC2B9B" w:rsidRPr="00C354C7" w:rsidSect="0065636C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905B" w14:textId="77777777" w:rsidR="000C79C9" w:rsidRDefault="000C79C9" w:rsidP="00D745B0">
      <w:r>
        <w:separator/>
      </w:r>
    </w:p>
    <w:p w14:paraId="3BF9A3B0" w14:textId="77777777" w:rsidR="000C79C9" w:rsidRDefault="000C79C9" w:rsidP="00D745B0"/>
  </w:endnote>
  <w:endnote w:type="continuationSeparator" w:id="0">
    <w:p w14:paraId="4B8EBB98" w14:textId="77777777" w:rsidR="000C79C9" w:rsidRDefault="000C79C9" w:rsidP="00D745B0">
      <w:r>
        <w:continuationSeparator/>
      </w:r>
    </w:p>
    <w:p w14:paraId="3DBF9CA5" w14:textId="77777777" w:rsidR="000C79C9" w:rsidRDefault="000C79C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A3FC0AB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65636C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65636C">
      <w:rPr>
        <w:rFonts w:ascii="Arial" w:hAnsi="Arial"/>
        <w:i/>
        <w:noProof/>
        <w:sz w:val="18"/>
        <w:szCs w:val="18"/>
      </w:rPr>
      <w:t>4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8B5B" w14:textId="77777777" w:rsidR="000C79C9" w:rsidRDefault="000C79C9" w:rsidP="00D745B0">
      <w:r>
        <w:separator/>
      </w:r>
    </w:p>
    <w:p w14:paraId="31910C62" w14:textId="77777777" w:rsidR="000C79C9" w:rsidRDefault="000C79C9" w:rsidP="00D745B0"/>
  </w:footnote>
  <w:footnote w:type="continuationSeparator" w:id="0">
    <w:p w14:paraId="7DC02267" w14:textId="77777777" w:rsidR="000C79C9" w:rsidRDefault="000C79C9" w:rsidP="00D745B0">
      <w:r>
        <w:continuationSeparator/>
      </w:r>
    </w:p>
    <w:p w14:paraId="4EF4C3B3" w14:textId="77777777" w:rsidR="000C79C9" w:rsidRDefault="000C79C9" w:rsidP="00D745B0"/>
  </w:footnote>
  <w:footnote w:id="1">
    <w:p w14:paraId="61D11C74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931304">
          <w:rPr>
            <w:rStyle w:val="Hypertextovodkaz"/>
          </w:rPr>
          <w:t>https://ec.europa.eu/environment/gpp/eu_gpp_criteria_en.htm</w:t>
        </w:r>
      </w:hyperlink>
      <w:r>
        <w:t xml:space="preserve"> </w:t>
      </w:r>
    </w:p>
  </w:footnote>
  <w:footnote w:id="2">
    <w:p w14:paraId="2E3D6D4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931304">
          <w:rPr>
            <w:rStyle w:val="Hypertextovodkaz"/>
          </w:rPr>
          <w:t>https://eur-lex.europa.eu/legal-content/CS/TXT/PDF/?uri=CELEX:32009L0125&amp;from=DA</w:t>
        </w:r>
      </w:hyperlink>
      <w:r>
        <w:t xml:space="preserve"> </w:t>
      </w:r>
    </w:p>
  </w:footnote>
  <w:footnote w:id="3">
    <w:p w14:paraId="0596F0AD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931304">
          <w:rPr>
            <w:rStyle w:val="Hypertextovodkaz"/>
          </w:rPr>
          <w:t>https://eur-lex.europa.eu/legal-content/CS/TXT/PDF/?uri=CELEX:32011L0065&amp;from=FR</w:t>
        </w:r>
      </w:hyperlink>
      <w:r>
        <w:t xml:space="preserve"> </w:t>
      </w:r>
    </w:p>
  </w:footnote>
  <w:footnote w:id="4">
    <w:p w14:paraId="0A9BDE30" w14:textId="77777777" w:rsidR="00BC2B9B" w:rsidRDefault="00BC2B9B" w:rsidP="00BC2B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4" w:history="1">
        <w:r w:rsidRPr="00931304">
          <w:rPr>
            <w:rStyle w:val="Hypertextovodkaz"/>
          </w:rPr>
          <w:t>https://eur-lex.europa.eu/legal-content/CS/TXT/PDF/?uri=CELEX:32021D0019&amp;from=EN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3C8" w14:textId="3F0A002F" w:rsidR="00DE0669" w:rsidRPr="0065636C" w:rsidRDefault="00DE0669" w:rsidP="0065636C">
    <w:pPr>
      <w:tabs>
        <w:tab w:val="right" w:pos="9072"/>
      </w:tabs>
      <w:spacing w:before="0" w:after="0"/>
      <w:ind w:firstLine="141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</w:lvl>
    <w:lvl w:ilvl="1">
      <w:start w:val="1"/>
      <w:numFmt w:val="lowerLetter"/>
      <w:lvlText w:val="%2)"/>
      <w:lvlJc w:val="left"/>
      <w:pPr>
        <w:ind w:left="3140" w:hanging="360"/>
      </w:pPr>
    </w:lvl>
    <w:lvl w:ilvl="2">
      <w:start w:val="1"/>
      <w:numFmt w:val="lowerRoman"/>
      <w:lvlText w:val="%3."/>
      <w:lvlJc w:val="right"/>
      <w:pPr>
        <w:ind w:left="3860" w:hanging="180"/>
      </w:pPr>
    </w:lvl>
    <w:lvl w:ilvl="3">
      <w:start w:val="1"/>
      <w:numFmt w:val="decimal"/>
      <w:lvlText w:val="%4."/>
      <w:lvlJc w:val="left"/>
      <w:pPr>
        <w:ind w:left="4580" w:hanging="360"/>
      </w:pPr>
    </w:lvl>
    <w:lvl w:ilvl="4">
      <w:start w:val="1"/>
      <w:numFmt w:val="lowerLetter"/>
      <w:lvlText w:val="%5."/>
      <w:lvlJc w:val="left"/>
      <w:pPr>
        <w:ind w:left="5300" w:hanging="360"/>
      </w:pPr>
    </w:lvl>
    <w:lvl w:ilvl="5">
      <w:start w:val="1"/>
      <w:numFmt w:val="lowerRoman"/>
      <w:lvlText w:val="%6."/>
      <w:lvlJc w:val="right"/>
      <w:pPr>
        <w:ind w:left="6020" w:hanging="180"/>
      </w:pPr>
    </w:lvl>
    <w:lvl w:ilvl="6">
      <w:start w:val="1"/>
      <w:numFmt w:val="decimal"/>
      <w:lvlText w:val="%7."/>
      <w:lvlJc w:val="left"/>
      <w:pPr>
        <w:ind w:left="6740" w:hanging="360"/>
      </w:pPr>
    </w:lvl>
    <w:lvl w:ilvl="7">
      <w:start w:val="1"/>
      <w:numFmt w:val="lowerLetter"/>
      <w:lvlText w:val="%8."/>
      <w:lvlJc w:val="left"/>
      <w:pPr>
        <w:ind w:left="7460" w:hanging="360"/>
      </w:pPr>
    </w:lvl>
    <w:lvl w:ilvl="8">
      <w:start w:val="1"/>
      <w:numFmt w:val="lowerRoman"/>
      <w:lvlText w:val="%9."/>
      <w:lvlJc w:val="right"/>
      <w:pPr>
        <w:ind w:left="8180" w:hanging="180"/>
      </w:pPr>
    </w:lvl>
  </w:abstractNum>
  <w:abstractNum w:abstractNumId="30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DD5FB2"/>
    <w:multiLevelType w:val="hybridMultilevel"/>
    <w:tmpl w:val="79A42B28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1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97D30"/>
    <w:multiLevelType w:val="hybridMultilevel"/>
    <w:tmpl w:val="E3C6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4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6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0279534">
    <w:abstractNumId w:val="27"/>
  </w:num>
  <w:num w:numId="2" w16cid:durableId="994262815">
    <w:abstractNumId w:val="31"/>
  </w:num>
  <w:num w:numId="3" w16cid:durableId="1532232112">
    <w:abstractNumId w:val="44"/>
  </w:num>
  <w:num w:numId="4" w16cid:durableId="1124733305">
    <w:abstractNumId w:val="21"/>
  </w:num>
  <w:num w:numId="5" w16cid:durableId="769590477">
    <w:abstractNumId w:val="45"/>
  </w:num>
  <w:num w:numId="6" w16cid:durableId="1007830055">
    <w:abstractNumId w:val="19"/>
  </w:num>
  <w:num w:numId="7" w16cid:durableId="16659898">
    <w:abstractNumId w:val="30"/>
  </w:num>
  <w:num w:numId="8" w16cid:durableId="651713346">
    <w:abstractNumId w:val="39"/>
  </w:num>
  <w:num w:numId="9" w16cid:durableId="7760041">
    <w:abstractNumId w:val="32"/>
  </w:num>
  <w:num w:numId="10" w16cid:durableId="61218538">
    <w:abstractNumId w:val="18"/>
  </w:num>
  <w:num w:numId="11" w16cid:durableId="2097706362">
    <w:abstractNumId w:val="28"/>
  </w:num>
  <w:num w:numId="12" w16cid:durableId="1849178824">
    <w:abstractNumId w:val="38"/>
  </w:num>
  <w:num w:numId="13" w16cid:durableId="715129938">
    <w:abstractNumId w:val="24"/>
  </w:num>
  <w:num w:numId="14" w16cid:durableId="257645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54254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553021">
    <w:abstractNumId w:val="11"/>
  </w:num>
  <w:num w:numId="17" w16cid:durableId="155418511">
    <w:abstractNumId w:val="33"/>
  </w:num>
  <w:num w:numId="18" w16cid:durableId="60757842">
    <w:abstractNumId w:val="37"/>
  </w:num>
  <w:num w:numId="19" w16cid:durableId="11118186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0285535">
    <w:abstractNumId w:val="13"/>
  </w:num>
  <w:num w:numId="21" w16cid:durableId="832717169">
    <w:abstractNumId w:val="8"/>
  </w:num>
  <w:num w:numId="22" w16cid:durableId="678197644">
    <w:abstractNumId w:val="3"/>
  </w:num>
  <w:num w:numId="23" w16cid:durableId="1869217818">
    <w:abstractNumId w:val="2"/>
  </w:num>
  <w:num w:numId="24" w16cid:durableId="820780414">
    <w:abstractNumId w:val="1"/>
  </w:num>
  <w:num w:numId="25" w16cid:durableId="198514073">
    <w:abstractNumId w:val="0"/>
  </w:num>
  <w:num w:numId="26" w16cid:durableId="1727489023">
    <w:abstractNumId w:val="9"/>
  </w:num>
  <w:num w:numId="27" w16cid:durableId="1203177365">
    <w:abstractNumId w:val="7"/>
  </w:num>
  <w:num w:numId="28" w16cid:durableId="2051492713">
    <w:abstractNumId w:val="6"/>
  </w:num>
  <w:num w:numId="29" w16cid:durableId="1064178659">
    <w:abstractNumId w:val="5"/>
  </w:num>
  <w:num w:numId="30" w16cid:durableId="93283842">
    <w:abstractNumId w:val="4"/>
  </w:num>
  <w:num w:numId="31" w16cid:durableId="1064066662">
    <w:abstractNumId w:val="26"/>
  </w:num>
  <w:num w:numId="32" w16cid:durableId="675771922">
    <w:abstractNumId w:val="40"/>
  </w:num>
  <w:num w:numId="33" w16cid:durableId="52430640">
    <w:abstractNumId w:val="22"/>
  </w:num>
  <w:num w:numId="34" w16cid:durableId="1657301775">
    <w:abstractNumId w:val="34"/>
  </w:num>
  <w:num w:numId="35" w16cid:durableId="1791968120">
    <w:abstractNumId w:val="47"/>
  </w:num>
  <w:num w:numId="36" w16cid:durableId="1403139348">
    <w:abstractNumId w:val="46"/>
  </w:num>
  <w:num w:numId="37" w16cid:durableId="1689217129">
    <w:abstractNumId w:val="16"/>
  </w:num>
  <w:num w:numId="38" w16cid:durableId="1735927512">
    <w:abstractNumId w:val="12"/>
  </w:num>
  <w:num w:numId="39" w16cid:durableId="1894929621">
    <w:abstractNumId w:val="10"/>
  </w:num>
  <w:num w:numId="40" w16cid:durableId="252208879">
    <w:abstractNumId w:val="14"/>
  </w:num>
  <w:num w:numId="41" w16cid:durableId="991717177">
    <w:abstractNumId w:val="25"/>
  </w:num>
  <w:num w:numId="42" w16cid:durableId="413475304">
    <w:abstractNumId w:val="20"/>
  </w:num>
  <w:num w:numId="43" w16cid:durableId="1622298646">
    <w:abstractNumId w:val="15"/>
  </w:num>
  <w:num w:numId="44" w16cid:durableId="1932159139">
    <w:abstractNumId w:val="17"/>
  </w:num>
  <w:num w:numId="45" w16cid:durableId="156116562">
    <w:abstractNumId w:val="41"/>
  </w:num>
  <w:num w:numId="46" w16cid:durableId="1383021071">
    <w:abstractNumId w:val="36"/>
  </w:num>
  <w:num w:numId="47" w16cid:durableId="591625116">
    <w:abstractNumId w:val="35"/>
  </w:num>
  <w:num w:numId="48" w16cid:durableId="1979142871">
    <w:abstractNumId w:val="43"/>
  </w:num>
  <w:num w:numId="49" w16cid:durableId="736637102">
    <w:abstractNumId w:val="42"/>
  </w:num>
  <w:num w:numId="50" w16cid:durableId="16553313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95F"/>
    <w:rsid w:val="00023C70"/>
    <w:rsid w:val="0002552B"/>
    <w:rsid w:val="00027D94"/>
    <w:rsid w:val="0003091B"/>
    <w:rsid w:val="00033AF1"/>
    <w:rsid w:val="00034935"/>
    <w:rsid w:val="000425CB"/>
    <w:rsid w:val="00044A5F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0A79"/>
    <w:rsid w:val="000C1FC1"/>
    <w:rsid w:val="000C2A83"/>
    <w:rsid w:val="000C5A1F"/>
    <w:rsid w:val="000C79C9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86664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D4852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1828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73CC6"/>
    <w:rsid w:val="002801A0"/>
    <w:rsid w:val="00283731"/>
    <w:rsid w:val="00283C4D"/>
    <w:rsid w:val="00284239"/>
    <w:rsid w:val="00284482"/>
    <w:rsid w:val="002856BB"/>
    <w:rsid w:val="00287CC5"/>
    <w:rsid w:val="0029081F"/>
    <w:rsid w:val="00296E94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1586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6B0F"/>
    <w:rsid w:val="00491DBF"/>
    <w:rsid w:val="0049503D"/>
    <w:rsid w:val="004A0E15"/>
    <w:rsid w:val="004A1082"/>
    <w:rsid w:val="004A2952"/>
    <w:rsid w:val="004A29E9"/>
    <w:rsid w:val="004A5501"/>
    <w:rsid w:val="004B042B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92"/>
    <w:rsid w:val="005970B0"/>
    <w:rsid w:val="005A0695"/>
    <w:rsid w:val="005A132F"/>
    <w:rsid w:val="005A5BD8"/>
    <w:rsid w:val="005A69C9"/>
    <w:rsid w:val="005B1FFA"/>
    <w:rsid w:val="005B4425"/>
    <w:rsid w:val="005B5058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13B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36C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96603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2A87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914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3CCB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BA1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1806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27E9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0776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2B9B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67"/>
    <w:rsid w:val="00C907A8"/>
    <w:rsid w:val="00C90AB0"/>
    <w:rsid w:val="00C946BF"/>
    <w:rsid w:val="00CA0219"/>
    <w:rsid w:val="00CA304F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2D34"/>
    <w:rsid w:val="00CD4582"/>
    <w:rsid w:val="00CD48CC"/>
    <w:rsid w:val="00CD6176"/>
    <w:rsid w:val="00CD6E5B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6C47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E4E4E"/>
    <w:rsid w:val="00EE56AF"/>
    <w:rsid w:val="00EE60ED"/>
    <w:rsid w:val="00EE6D47"/>
    <w:rsid w:val="00EE71F0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354F6A06"/>
    <w:rsid w:val="40B96467"/>
    <w:rsid w:val="491E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CS/TXT/PDF/?uri=CELEX:32011L0065&amp;from=FR" TargetMode="External"/><Relationship Id="rId2" Type="http://schemas.openxmlformats.org/officeDocument/2006/relationships/hyperlink" Target="https://eur-lex.europa.eu/legal-content/CS/TXT/PDF/?uri=CELEX:32009L0125&amp;from=DA" TargetMode="External"/><Relationship Id="rId1" Type="http://schemas.openxmlformats.org/officeDocument/2006/relationships/hyperlink" Target="https://ec.europa.eu/environment/gpp/eu_gpp_criteria_en.htm" TargetMode="External"/><Relationship Id="rId4" Type="http://schemas.openxmlformats.org/officeDocument/2006/relationships/hyperlink" Target="https://eur-lex.europa.eu/legal-content/CS/TXT/PDF/?uri=CELEX:32021D001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1E89F-E2AE-417C-92C8-311BC1E9C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Jonas Merta</cp:lastModifiedBy>
  <cp:revision>5</cp:revision>
  <cp:lastPrinted>2012-10-05T07:05:00Z</cp:lastPrinted>
  <dcterms:created xsi:type="dcterms:W3CDTF">2025-01-27T07:25:00Z</dcterms:created>
  <dcterms:modified xsi:type="dcterms:W3CDTF">2025-03-06T13:02:00Z</dcterms:modified>
</cp:coreProperties>
</file>