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97D1" w14:textId="77777777" w:rsidR="00104657" w:rsidRPr="00DC659D" w:rsidRDefault="00104657" w:rsidP="00BC686A">
      <w:pPr>
        <w:pStyle w:val="Nadpis1"/>
        <w:jc w:val="center"/>
        <w:rPr>
          <w:rFonts w:ascii="Calibri" w:hAnsi="Calibri" w:cs="Calibri"/>
          <w:sz w:val="32"/>
          <w:szCs w:val="32"/>
        </w:rPr>
      </w:pPr>
      <w:r w:rsidRPr="00DC659D">
        <w:rPr>
          <w:rFonts w:ascii="Calibri" w:hAnsi="Calibri" w:cs="Calibri"/>
          <w:sz w:val="32"/>
          <w:szCs w:val="32"/>
        </w:rPr>
        <w:t>Kupní smlouva</w:t>
      </w:r>
    </w:p>
    <w:p w14:paraId="17FDDE75" w14:textId="77777777" w:rsidR="00104657" w:rsidRPr="00DC659D" w:rsidRDefault="00104657" w:rsidP="00BC686A">
      <w:pPr>
        <w:pStyle w:val="Bezmezer"/>
        <w:spacing w:before="120"/>
        <w:jc w:val="center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(dále jen „smlouva“)</w:t>
      </w:r>
    </w:p>
    <w:p w14:paraId="014BE475" w14:textId="77777777" w:rsidR="00104657" w:rsidRPr="00DE0BBA" w:rsidRDefault="00104657" w:rsidP="00DE0BBA">
      <w:pPr>
        <w:pStyle w:val="Bezmezer"/>
        <w:spacing w:before="120"/>
        <w:jc w:val="center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dle </w:t>
      </w:r>
      <w:r w:rsidR="007A4273" w:rsidRPr="00DC659D">
        <w:rPr>
          <w:rFonts w:cs="Calibri"/>
          <w:sz w:val="20"/>
          <w:szCs w:val="20"/>
        </w:rPr>
        <w:t xml:space="preserve">§ 2079 </w:t>
      </w:r>
      <w:r w:rsidRPr="00DC659D">
        <w:rPr>
          <w:rFonts w:cs="Calibri"/>
          <w:sz w:val="20"/>
          <w:szCs w:val="20"/>
        </w:rPr>
        <w:t>a násl. zákona</w:t>
      </w:r>
      <w:r w:rsidR="007A4273" w:rsidRPr="00DC659D">
        <w:rPr>
          <w:rFonts w:cs="Calibri"/>
          <w:sz w:val="20"/>
          <w:szCs w:val="20"/>
        </w:rPr>
        <w:t xml:space="preserve"> č.</w:t>
      </w:r>
      <w:r w:rsidRPr="00DC659D">
        <w:rPr>
          <w:rFonts w:cs="Calibri"/>
          <w:sz w:val="20"/>
          <w:szCs w:val="20"/>
        </w:rPr>
        <w:t xml:space="preserve"> </w:t>
      </w:r>
      <w:r w:rsidR="007A4273" w:rsidRPr="00DC659D">
        <w:rPr>
          <w:rFonts w:cs="Calibri"/>
          <w:sz w:val="20"/>
          <w:szCs w:val="20"/>
        </w:rPr>
        <w:t>89/2012 Sb., občanského zákoníku,</w:t>
      </w:r>
      <w:r w:rsidRPr="00DC659D">
        <w:rPr>
          <w:rFonts w:cs="Calibri"/>
          <w:sz w:val="20"/>
          <w:szCs w:val="20"/>
        </w:rPr>
        <w:br/>
        <w:t>ve znění pozdějších předpisů (dále jen „</w:t>
      </w:r>
      <w:r w:rsidRPr="00DC659D">
        <w:rPr>
          <w:rFonts w:cs="Calibri"/>
          <w:b/>
          <w:sz w:val="20"/>
          <w:szCs w:val="20"/>
        </w:rPr>
        <w:t>o</w:t>
      </w:r>
      <w:r w:rsidR="007A4273" w:rsidRPr="00DC659D">
        <w:rPr>
          <w:rFonts w:cs="Calibri"/>
          <w:b/>
          <w:sz w:val="20"/>
          <w:szCs w:val="20"/>
        </w:rPr>
        <w:t>bčanský</w:t>
      </w:r>
      <w:r w:rsidRPr="00DC659D">
        <w:rPr>
          <w:rFonts w:cs="Calibri"/>
          <w:b/>
          <w:sz w:val="20"/>
          <w:szCs w:val="20"/>
        </w:rPr>
        <w:t xml:space="preserve"> zákoník</w:t>
      </w:r>
      <w:r w:rsidRPr="00DC659D">
        <w:rPr>
          <w:rFonts w:cs="Calibri"/>
          <w:sz w:val="20"/>
          <w:szCs w:val="20"/>
        </w:rPr>
        <w:t>“)</w:t>
      </w:r>
    </w:p>
    <w:p w14:paraId="57880796" w14:textId="77777777" w:rsidR="00104657" w:rsidRPr="00EC20A2" w:rsidRDefault="00104657" w:rsidP="00E268FE">
      <w:pPr>
        <w:pStyle w:val="Bezmezer"/>
        <w:numPr>
          <w:ilvl w:val="0"/>
          <w:numId w:val="2"/>
        </w:numPr>
        <w:tabs>
          <w:tab w:val="clear" w:pos="357"/>
        </w:tabs>
        <w:spacing w:before="400"/>
        <w:ind w:left="-357" w:firstLine="79"/>
        <w:jc w:val="center"/>
        <w:rPr>
          <w:rFonts w:cs="Calibri"/>
          <w:b/>
          <w:sz w:val="20"/>
          <w:szCs w:val="20"/>
        </w:rPr>
      </w:pPr>
      <w:r w:rsidRPr="00DC659D">
        <w:rPr>
          <w:rFonts w:cs="Calibri"/>
          <w:b/>
          <w:sz w:val="20"/>
          <w:szCs w:val="20"/>
        </w:rPr>
        <w:t>Smluvní strany</w:t>
      </w:r>
    </w:p>
    <w:p w14:paraId="1897F058" w14:textId="72939E40" w:rsidR="00DC659D" w:rsidRPr="00DC659D" w:rsidRDefault="00104657" w:rsidP="00E268FE">
      <w:pPr>
        <w:pStyle w:val="Bezmezer"/>
        <w:numPr>
          <w:ilvl w:val="1"/>
          <w:numId w:val="1"/>
        </w:numPr>
        <w:tabs>
          <w:tab w:val="clear" w:pos="0"/>
        </w:tabs>
        <w:spacing w:before="120"/>
        <w:ind w:left="426" w:hanging="426"/>
        <w:jc w:val="both"/>
        <w:rPr>
          <w:rFonts w:cs="Calibri"/>
          <w:sz w:val="20"/>
          <w:szCs w:val="20"/>
        </w:rPr>
      </w:pPr>
      <w:r w:rsidRPr="00DC659D">
        <w:rPr>
          <w:rFonts w:cs="Calibri"/>
          <w:b/>
          <w:sz w:val="20"/>
          <w:szCs w:val="20"/>
        </w:rPr>
        <w:t xml:space="preserve">Kupující: </w:t>
      </w:r>
      <w:r w:rsidR="00F06275" w:rsidRPr="00DC659D">
        <w:rPr>
          <w:rFonts w:cs="Calibri"/>
          <w:b/>
          <w:sz w:val="20"/>
          <w:szCs w:val="20"/>
        </w:rPr>
        <w:tab/>
      </w:r>
      <w:r w:rsidR="00F06275" w:rsidRPr="00DC659D">
        <w:rPr>
          <w:rFonts w:cs="Calibri"/>
          <w:b/>
          <w:sz w:val="20"/>
          <w:szCs w:val="20"/>
        </w:rPr>
        <w:tab/>
      </w:r>
      <w:bookmarkStart w:id="0" w:name="_Hlk133499375"/>
      <w:r w:rsidR="00EC20A2">
        <w:rPr>
          <w:rFonts w:cs="Calibri"/>
          <w:b/>
          <w:sz w:val="20"/>
          <w:szCs w:val="20"/>
        </w:rPr>
        <w:tab/>
      </w:r>
      <w:r w:rsidR="00EC20A2">
        <w:rPr>
          <w:rFonts w:cs="Calibri"/>
          <w:b/>
          <w:sz w:val="20"/>
          <w:szCs w:val="20"/>
        </w:rPr>
        <w:tab/>
      </w:r>
      <w:bookmarkEnd w:id="0"/>
      <w:r w:rsidR="00450D57" w:rsidRPr="00450D57">
        <w:rPr>
          <w:rFonts w:cs="Calibri"/>
          <w:b/>
          <w:bCs/>
          <w:iCs/>
          <w:sz w:val="20"/>
        </w:rPr>
        <w:t>Centrum dopravního výzkumu, v. v. i.</w:t>
      </w:r>
    </w:p>
    <w:p w14:paraId="17EC1FA9" w14:textId="43C4855A" w:rsidR="006863D3" w:rsidRDefault="00DC659D" w:rsidP="006863D3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se sídlem: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450D57" w:rsidRPr="00450D57">
        <w:rPr>
          <w:rFonts w:cs="Calibri"/>
          <w:sz w:val="20"/>
          <w:szCs w:val="20"/>
        </w:rPr>
        <w:t>Líšeňská 2657/</w:t>
      </w:r>
      <w:proofErr w:type="gramStart"/>
      <w:r w:rsidR="00450D57" w:rsidRPr="00450D57">
        <w:rPr>
          <w:rFonts w:cs="Calibri"/>
          <w:sz w:val="20"/>
          <w:szCs w:val="20"/>
        </w:rPr>
        <w:t>33a</w:t>
      </w:r>
      <w:proofErr w:type="gramEnd"/>
      <w:r w:rsidR="00450D57" w:rsidRPr="00450D57">
        <w:rPr>
          <w:rFonts w:cs="Calibri"/>
          <w:sz w:val="20"/>
          <w:szCs w:val="20"/>
        </w:rPr>
        <w:t>, 636 00, Brno-Líšeň</w:t>
      </w:r>
    </w:p>
    <w:p w14:paraId="58875901" w14:textId="5780339E" w:rsidR="00A726EF" w:rsidRDefault="00EE0453" w:rsidP="00A726EF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</w:t>
      </w:r>
      <w:r w:rsidR="00DC659D" w:rsidRPr="00DC659D">
        <w:rPr>
          <w:rFonts w:cs="Calibri"/>
          <w:sz w:val="20"/>
          <w:szCs w:val="20"/>
        </w:rPr>
        <w:t>astoupen</w:t>
      </w:r>
      <w:r w:rsidR="00DC659D">
        <w:rPr>
          <w:rFonts w:cs="Calibri"/>
          <w:sz w:val="20"/>
          <w:szCs w:val="20"/>
        </w:rPr>
        <w:t>:</w:t>
      </w:r>
      <w:r w:rsidR="00DC659D" w:rsidRPr="00DC659D">
        <w:rPr>
          <w:rFonts w:cs="Calibri"/>
          <w:sz w:val="20"/>
          <w:szCs w:val="20"/>
        </w:rPr>
        <w:t xml:space="preserve"> </w:t>
      </w:r>
      <w:r w:rsidR="00DC659D">
        <w:rPr>
          <w:rFonts w:cs="Calibri"/>
          <w:sz w:val="20"/>
          <w:szCs w:val="20"/>
        </w:rPr>
        <w:tab/>
      </w:r>
      <w:r w:rsidR="006863D3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450D57" w:rsidRPr="00450D57">
        <w:rPr>
          <w:rFonts w:cs="Calibri"/>
          <w:bCs/>
          <w:sz w:val="20"/>
          <w:szCs w:val="20"/>
        </w:rPr>
        <w:t>Ing. Jindřich Frič, Ph.D., MBA, ředitel</w:t>
      </w:r>
    </w:p>
    <w:p w14:paraId="5B6E678F" w14:textId="58AA3D73" w:rsidR="00DC659D" w:rsidRPr="006863D3" w:rsidRDefault="00DC659D" w:rsidP="00A726EF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6863D3">
        <w:rPr>
          <w:rFonts w:cs="Calibri"/>
          <w:sz w:val="20"/>
          <w:szCs w:val="20"/>
        </w:rPr>
        <w:t>Identifikační číslo:</w:t>
      </w:r>
      <w:r w:rsidRPr="006863D3">
        <w:rPr>
          <w:rFonts w:cs="Calibri"/>
          <w:sz w:val="20"/>
          <w:szCs w:val="20"/>
        </w:rPr>
        <w:tab/>
      </w:r>
      <w:bookmarkStart w:id="1" w:name="_Hlk133499389"/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bookmarkEnd w:id="1"/>
      <w:r w:rsidR="00450D57" w:rsidRPr="00450D57">
        <w:rPr>
          <w:rFonts w:cs="Calibri"/>
          <w:bCs/>
          <w:sz w:val="20"/>
          <w:szCs w:val="20"/>
        </w:rPr>
        <w:t>44994575</w:t>
      </w:r>
      <w:r w:rsidR="00DE55BF" w:rsidRPr="00DE55BF">
        <w:rPr>
          <w:rFonts w:cs="Calibri"/>
          <w:bCs/>
          <w:sz w:val="20"/>
          <w:szCs w:val="20"/>
        </w:rPr>
        <w:tab/>
      </w:r>
      <w:r w:rsidR="00DE55BF" w:rsidRPr="00DE55BF">
        <w:rPr>
          <w:rFonts w:cs="Calibri"/>
          <w:bCs/>
          <w:sz w:val="20"/>
          <w:szCs w:val="20"/>
        </w:rPr>
        <w:tab/>
      </w:r>
    </w:p>
    <w:p w14:paraId="3587BDE1" w14:textId="561C0047" w:rsidR="00DC659D" w:rsidRPr="006863D3" w:rsidRDefault="00DC659D" w:rsidP="00DC659D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6863D3">
        <w:rPr>
          <w:rFonts w:cs="Calibri"/>
          <w:sz w:val="20"/>
          <w:szCs w:val="20"/>
        </w:rPr>
        <w:t>DIČ:</w:t>
      </w:r>
      <w:r w:rsidRPr="006863D3">
        <w:rPr>
          <w:rFonts w:cs="Calibri"/>
          <w:sz w:val="20"/>
          <w:szCs w:val="20"/>
        </w:rPr>
        <w:tab/>
      </w:r>
      <w:r w:rsidRPr="006863D3">
        <w:rPr>
          <w:rFonts w:cs="Calibri"/>
          <w:sz w:val="20"/>
          <w:szCs w:val="20"/>
        </w:rPr>
        <w:tab/>
      </w:r>
      <w:r w:rsidRPr="006863D3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Pr="006863D3">
        <w:rPr>
          <w:rFonts w:cs="Calibri"/>
          <w:sz w:val="20"/>
          <w:szCs w:val="20"/>
        </w:rPr>
        <w:t>CZ</w:t>
      </w:r>
      <w:r w:rsidR="00450D57" w:rsidRPr="00450D57">
        <w:rPr>
          <w:rFonts w:cs="Calibri"/>
          <w:bCs/>
          <w:sz w:val="20"/>
          <w:szCs w:val="20"/>
        </w:rPr>
        <w:t>44994575</w:t>
      </w:r>
    </w:p>
    <w:p w14:paraId="338C2DEA" w14:textId="77777777" w:rsidR="00104657" w:rsidRPr="00DC659D" w:rsidRDefault="00104657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(dále jen jako „</w:t>
      </w:r>
      <w:r w:rsidRPr="00DC659D">
        <w:rPr>
          <w:rFonts w:cs="Calibri"/>
          <w:b/>
          <w:sz w:val="20"/>
          <w:szCs w:val="20"/>
        </w:rPr>
        <w:t>kupující</w:t>
      </w:r>
      <w:r w:rsidRPr="00DC659D">
        <w:rPr>
          <w:rFonts w:cs="Calibri"/>
          <w:sz w:val="20"/>
          <w:szCs w:val="20"/>
        </w:rPr>
        <w:t>“)</w:t>
      </w:r>
    </w:p>
    <w:p w14:paraId="23CA474C" w14:textId="77777777" w:rsidR="00104657" w:rsidRPr="00DC659D" w:rsidRDefault="00104657" w:rsidP="00BC686A">
      <w:pPr>
        <w:pStyle w:val="Bezmezer"/>
        <w:spacing w:before="120"/>
        <w:jc w:val="both"/>
        <w:rPr>
          <w:rFonts w:cs="Calibri"/>
          <w:sz w:val="20"/>
          <w:szCs w:val="20"/>
        </w:rPr>
      </w:pPr>
    </w:p>
    <w:p w14:paraId="221DE78F" w14:textId="77777777" w:rsidR="00104657" w:rsidRPr="00DC659D" w:rsidRDefault="00104657" w:rsidP="00E268FE">
      <w:pPr>
        <w:pStyle w:val="Bezmezer"/>
        <w:numPr>
          <w:ilvl w:val="1"/>
          <w:numId w:val="1"/>
        </w:numPr>
        <w:ind w:left="360" w:hanging="360"/>
        <w:jc w:val="both"/>
        <w:rPr>
          <w:rFonts w:cs="Calibri"/>
          <w:b/>
          <w:sz w:val="20"/>
          <w:szCs w:val="20"/>
        </w:rPr>
      </w:pPr>
      <w:r w:rsidRPr="00DC659D">
        <w:rPr>
          <w:rFonts w:cs="Calibri"/>
          <w:b/>
          <w:sz w:val="20"/>
          <w:szCs w:val="20"/>
        </w:rPr>
        <w:t xml:space="preserve">Prodávající: </w:t>
      </w:r>
      <w:r w:rsidRPr="00DC659D">
        <w:rPr>
          <w:rFonts w:cs="Calibri"/>
          <w:b/>
          <w:sz w:val="20"/>
          <w:szCs w:val="20"/>
        </w:rPr>
        <w:tab/>
      </w:r>
      <w:r w:rsidR="006F1E2A">
        <w:rPr>
          <w:rFonts w:cs="Calibri"/>
          <w:b/>
          <w:sz w:val="20"/>
          <w:szCs w:val="20"/>
        </w:rPr>
        <w:tab/>
      </w:r>
      <w:r w:rsidR="00EC20A2">
        <w:rPr>
          <w:rFonts w:cs="Calibri"/>
          <w:b/>
          <w:sz w:val="20"/>
          <w:szCs w:val="20"/>
        </w:rPr>
        <w:tab/>
      </w:r>
      <w:r w:rsidR="00EC20A2">
        <w:rPr>
          <w:rFonts w:cs="Calibri"/>
          <w:b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>……………………………</w:t>
      </w:r>
    </w:p>
    <w:p w14:paraId="70490E38" w14:textId="77777777" w:rsidR="00104657" w:rsidRPr="00DC659D" w:rsidRDefault="00EE0453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</w:t>
      </w:r>
      <w:r w:rsidR="00104657" w:rsidRPr="00DC659D">
        <w:rPr>
          <w:rFonts w:cs="Calibri"/>
          <w:sz w:val="20"/>
          <w:szCs w:val="20"/>
        </w:rPr>
        <w:t>e sídlem:</w:t>
      </w:r>
      <w:r w:rsidR="00104657" w:rsidRPr="00DC659D">
        <w:rPr>
          <w:rFonts w:cs="Calibri"/>
          <w:sz w:val="20"/>
          <w:szCs w:val="20"/>
        </w:rPr>
        <w:tab/>
        <w:t xml:space="preserve"> </w:t>
      </w:r>
      <w:r w:rsidR="00104657" w:rsidRPr="00DC659D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104657" w:rsidRPr="00DC659D">
        <w:rPr>
          <w:rFonts w:cs="Calibri"/>
          <w:sz w:val="20"/>
          <w:szCs w:val="20"/>
        </w:rPr>
        <w:t xml:space="preserve">……………………………     </w:t>
      </w:r>
      <w:r w:rsidR="00104657" w:rsidRPr="00DC659D">
        <w:rPr>
          <w:rFonts w:cs="Calibri"/>
          <w:sz w:val="20"/>
          <w:szCs w:val="20"/>
        </w:rPr>
        <w:tab/>
      </w:r>
      <w:r w:rsidR="00104657" w:rsidRPr="00DC659D">
        <w:rPr>
          <w:rFonts w:cs="Calibri"/>
          <w:sz w:val="20"/>
          <w:szCs w:val="20"/>
        </w:rPr>
        <w:tab/>
      </w:r>
    </w:p>
    <w:p w14:paraId="3DB3802B" w14:textId="77777777" w:rsidR="00104657" w:rsidRPr="00DC659D" w:rsidRDefault="00104657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zastoupen: 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>……………………………</w:t>
      </w:r>
    </w:p>
    <w:p w14:paraId="2A48B4FC" w14:textId="77777777" w:rsidR="00104657" w:rsidRPr="00DC659D" w:rsidRDefault="00104657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zá</w:t>
      </w:r>
      <w:r w:rsidR="00F06275" w:rsidRPr="00DC659D">
        <w:rPr>
          <w:rFonts w:cs="Calibri"/>
          <w:sz w:val="20"/>
          <w:szCs w:val="20"/>
        </w:rPr>
        <w:t xml:space="preserve">stupce ve věcech technických: </w:t>
      </w:r>
      <w:r w:rsidR="00F06275"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>……………………………</w:t>
      </w:r>
    </w:p>
    <w:p w14:paraId="4253E656" w14:textId="77777777" w:rsidR="00104657" w:rsidRPr="00DC659D" w:rsidRDefault="00104657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IČ: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>……………………………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  <w:t xml:space="preserve"> </w:t>
      </w:r>
    </w:p>
    <w:p w14:paraId="27B85353" w14:textId="77777777" w:rsidR="00104657" w:rsidRPr="00DC659D" w:rsidRDefault="00104657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Bankovní spojení:</w:t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>……………………………</w:t>
      </w:r>
      <w:r w:rsidRPr="00DC659D">
        <w:rPr>
          <w:rFonts w:cs="Calibri"/>
          <w:sz w:val="20"/>
          <w:szCs w:val="20"/>
        </w:rPr>
        <w:tab/>
      </w:r>
    </w:p>
    <w:p w14:paraId="65616813" w14:textId="77777777" w:rsidR="006F1E2A" w:rsidRDefault="00104657" w:rsidP="006F1E2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Telefon: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>……………………………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</w:p>
    <w:p w14:paraId="64E28155" w14:textId="77777777" w:rsidR="00104657" w:rsidRPr="00DC659D" w:rsidRDefault="00104657" w:rsidP="006F1E2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E-mail: 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="00EC20A2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>……………………………</w:t>
      </w:r>
      <w:r w:rsidRPr="00DC659D">
        <w:rPr>
          <w:rFonts w:cs="Calibri"/>
          <w:sz w:val="20"/>
          <w:szCs w:val="20"/>
        </w:rPr>
        <w:tab/>
      </w:r>
    </w:p>
    <w:p w14:paraId="60889150" w14:textId="7952DFFC" w:rsidR="00104657" w:rsidRPr="00DC659D" w:rsidRDefault="00104657" w:rsidP="00BC686A">
      <w:pPr>
        <w:pStyle w:val="Bezmezer"/>
        <w:spacing w:before="120"/>
        <w:ind w:left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(dále jen jako „</w:t>
      </w:r>
      <w:r w:rsidRPr="00DC659D">
        <w:rPr>
          <w:rFonts w:cs="Calibri"/>
          <w:b/>
          <w:sz w:val="20"/>
          <w:szCs w:val="20"/>
        </w:rPr>
        <w:t>prodávající</w:t>
      </w:r>
      <w:r w:rsidRPr="00DC659D">
        <w:rPr>
          <w:rFonts w:cs="Calibri"/>
          <w:sz w:val="20"/>
          <w:szCs w:val="20"/>
        </w:rPr>
        <w:t>“)</w:t>
      </w:r>
    </w:p>
    <w:p w14:paraId="723B986E" w14:textId="77777777" w:rsidR="00104657" w:rsidRPr="00DC659D" w:rsidRDefault="00104657" w:rsidP="00BC686A">
      <w:pPr>
        <w:jc w:val="both"/>
        <w:rPr>
          <w:rFonts w:ascii="Calibri" w:hAnsi="Calibri" w:cs="Calibri"/>
        </w:rPr>
      </w:pPr>
    </w:p>
    <w:p w14:paraId="7353A327" w14:textId="77777777" w:rsidR="00104657" w:rsidRPr="00DC659D" w:rsidRDefault="00104657" w:rsidP="00BC686A">
      <w:pPr>
        <w:pStyle w:val="Zkladntext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>Obě smluvní strany po vzájemném projednání a shodě uzavírají tuto smlouvu:</w:t>
      </w:r>
    </w:p>
    <w:p w14:paraId="6AA6FE49" w14:textId="77777777" w:rsidR="00104657" w:rsidRPr="00DC659D" w:rsidRDefault="00104657" w:rsidP="00BC686A">
      <w:pPr>
        <w:jc w:val="center"/>
        <w:rPr>
          <w:rFonts w:ascii="Calibri" w:hAnsi="Calibri" w:cs="Calibri"/>
          <w:b/>
        </w:rPr>
      </w:pPr>
    </w:p>
    <w:p w14:paraId="23761EBF" w14:textId="77777777" w:rsidR="00104657" w:rsidRPr="00DC659D" w:rsidRDefault="00104657" w:rsidP="00E268FE">
      <w:pPr>
        <w:numPr>
          <w:ilvl w:val="0"/>
          <w:numId w:val="2"/>
        </w:numPr>
        <w:spacing w:line="280" w:lineRule="atLeast"/>
        <w:jc w:val="center"/>
        <w:rPr>
          <w:rFonts w:ascii="Calibri" w:hAnsi="Calibri" w:cs="Calibri"/>
          <w:b/>
          <w:sz w:val="20"/>
          <w:szCs w:val="20"/>
        </w:rPr>
      </w:pPr>
      <w:r w:rsidRPr="00DC659D">
        <w:rPr>
          <w:rFonts w:ascii="Calibri" w:hAnsi="Calibri" w:cs="Calibri"/>
          <w:b/>
          <w:sz w:val="20"/>
          <w:szCs w:val="20"/>
        </w:rPr>
        <w:t>Předmět smlouvy</w:t>
      </w:r>
    </w:p>
    <w:p w14:paraId="05865244" w14:textId="683C0158" w:rsidR="00C83BB1" w:rsidRDefault="00C83BB1" w:rsidP="00E268FE">
      <w:pPr>
        <w:pStyle w:val="Bezmezer"/>
        <w:numPr>
          <w:ilvl w:val="1"/>
          <w:numId w:val="3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C83BB1">
        <w:rPr>
          <w:rFonts w:cs="Calibri"/>
          <w:sz w:val="20"/>
          <w:szCs w:val="20"/>
        </w:rPr>
        <w:t xml:space="preserve">Účelem </w:t>
      </w:r>
      <w:r>
        <w:rPr>
          <w:rFonts w:cs="Calibri"/>
          <w:sz w:val="20"/>
          <w:szCs w:val="20"/>
        </w:rPr>
        <w:t>této s</w:t>
      </w:r>
      <w:r w:rsidRPr="00C83BB1">
        <w:rPr>
          <w:rFonts w:cs="Calibri"/>
          <w:sz w:val="20"/>
          <w:szCs w:val="20"/>
        </w:rPr>
        <w:t xml:space="preserve">mlouvy je dodávka </w:t>
      </w:r>
      <w:r>
        <w:rPr>
          <w:rFonts w:cs="Calibri"/>
          <w:sz w:val="20"/>
          <w:szCs w:val="20"/>
        </w:rPr>
        <w:t>zařízení</w:t>
      </w:r>
      <w:r w:rsidRPr="00C83BB1">
        <w:rPr>
          <w:rFonts w:cs="Calibri"/>
          <w:sz w:val="20"/>
          <w:szCs w:val="20"/>
        </w:rPr>
        <w:t xml:space="preserve"> včetně jeho implementace a napojení na ostatní infrastrukturu </w:t>
      </w:r>
      <w:r>
        <w:rPr>
          <w:rFonts w:cs="Calibri"/>
          <w:sz w:val="20"/>
          <w:szCs w:val="20"/>
        </w:rPr>
        <w:t>kupujícího</w:t>
      </w:r>
      <w:r w:rsidRPr="00C83BB1">
        <w:rPr>
          <w:rFonts w:cs="Calibri"/>
          <w:sz w:val="20"/>
          <w:szCs w:val="20"/>
        </w:rPr>
        <w:t xml:space="preserve"> (včetně současně budované infrastruktury) a následné předání funkčního kompletu </w:t>
      </w:r>
      <w:r>
        <w:rPr>
          <w:rFonts w:cs="Calibri"/>
          <w:sz w:val="20"/>
          <w:szCs w:val="20"/>
        </w:rPr>
        <w:t>kupujícímu</w:t>
      </w:r>
      <w:r w:rsidRPr="00C83BB1">
        <w:rPr>
          <w:rFonts w:cs="Calibri"/>
          <w:sz w:val="20"/>
          <w:szCs w:val="20"/>
        </w:rPr>
        <w:t xml:space="preserve">, zaškolení administrátorů, uživatelů, rozvoje a podpory. </w:t>
      </w:r>
      <w:r>
        <w:rPr>
          <w:rFonts w:cs="Calibri"/>
          <w:sz w:val="20"/>
          <w:szCs w:val="20"/>
        </w:rPr>
        <w:t xml:space="preserve">Zařízení </w:t>
      </w:r>
      <w:r w:rsidRPr="00C83BB1">
        <w:rPr>
          <w:rFonts w:cs="Calibri"/>
          <w:sz w:val="20"/>
          <w:szCs w:val="20"/>
        </w:rPr>
        <w:t>je určen</w:t>
      </w:r>
      <w:r>
        <w:rPr>
          <w:rFonts w:cs="Calibri"/>
          <w:sz w:val="20"/>
          <w:szCs w:val="20"/>
        </w:rPr>
        <w:t xml:space="preserve">é </w:t>
      </w:r>
      <w:r w:rsidRPr="00C83BB1">
        <w:rPr>
          <w:rFonts w:cs="Calibri"/>
          <w:sz w:val="20"/>
          <w:szCs w:val="20"/>
        </w:rPr>
        <w:t xml:space="preserve">pro </w:t>
      </w:r>
      <w:r>
        <w:rPr>
          <w:rFonts w:cs="Calibri"/>
          <w:sz w:val="20"/>
          <w:szCs w:val="20"/>
        </w:rPr>
        <w:t>kupujícího</w:t>
      </w:r>
      <w:r w:rsidR="00956BE6">
        <w:rPr>
          <w:rFonts w:cs="Calibri"/>
          <w:sz w:val="20"/>
          <w:szCs w:val="20"/>
        </w:rPr>
        <w:t xml:space="preserve"> </w:t>
      </w:r>
      <w:r w:rsidR="00956BE6" w:rsidRPr="00956BE6">
        <w:rPr>
          <w:rFonts w:cs="Calibri"/>
          <w:sz w:val="20"/>
          <w:szCs w:val="20"/>
        </w:rPr>
        <w:t>Centrum dopravního výzkumu, v. v. i</w:t>
      </w:r>
      <w:r w:rsidRPr="00C83BB1">
        <w:rPr>
          <w:rFonts w:cs="Calibri"/>
          <w:sz w:val="20"/>
          <w:szCs w:val="20"/>
        </w:rPr>
        <w:t>.</w:t>
      </w:r>
    </w:p>
    <w:p w14:paraId="0D0EBC1E" w14:textId="45354BEE" w:rsidR="00104657" w:rsidRPr="00DC659D" w:rsidRDefault="00104657" w:rsidP="00E268FE">
      <w:pPr>
        <w:pStyle w:val="Bezmezer"/>
        <w:numPr>
          <w:ilvl w:val="1"/>
          <w:numId w:val="3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Podkladem pro uzavření této smlouvy je </w:t>
      </w:r>
      <w:r w:rsidRPr="00EC20A2">
        <w:rPr>
          <w:rFonts w:cs="Calibri"/>
          <w:sz w:val="20"/>
          <w:szCs w:val="20"/>
        </w:rPr>
        <w:t xml:space="preserve">nabídka prodávajícího, podaná </w:t>
      </w:r>
      <w:r w:rsidR="00A726EF" w:rsidRPr="00EC20A2">
        <w:rPr>
          <w:rFonts w:cs="Calibri"/>
          <w:sz w:val="20"/>
          <w:szCs w:val="20"/>
        </w:rPr>
        <w:t>v zadávacím řízení</w:t>
      </w:r>
      <w:r w:rsidRPr="00EC20A2">
        <w:rPr>
          <w:rFonts w:cs="Calibri"/>
          <w:sz w:val="20"/>
          <w:szCs w:val="20"/>
        </w:rPr>
        <w:t xml:space="preserve"> nazvaném </w:t>
      </w:r>
      <w:r w:rsidR="00956BE6" w:rsidRPr="00956BE6">
        <w:rPr>
          <w:rFonts w:cs="Calibri"/>
          <w:b/>
          <w:bCs/>
          <w:sz w:val="20"/>
          <w:szCs w:val="20"/>
        </w:rPr>
        <w:t xml:space="preserve">„V </w:t>
      </w:r>
      <w:proofErr w:type="gramStart"/>
      <w:r w:rsidR="00956BE6" w:rsidRPr="00956BE6">
        <w:rPr>
          <w:rFonts w:cs="Calibri"/>
          <w:b/>
          <w:bCs/>
          <w:sz w:val="20"/>
          <w:szCs w:val="20"/>
        </w:rPr>
        <w:t>00852A</w:t>
      </w:r>
      <w:proofErr w:type="gramEnd"/>
      <w:r w:rsidR="00956BE6" w:rsidRPr="00956BE6">
        <w:rPr>
          <w:rFonts w:cs="Calibri"/>
          <w:b/>
          <w:bCs/>
          <w:sz w:val="20"/>
          <w:szCs w:val="20"/>
        </w:rPr>
        <w:t xml:space="preserve"> – virtuální a BCM infrastruktura on-premise“</w:t>
      </w:r>
      <w:r w:rsidR="00ED2005" w:rsidRPr="00EC20A2">
        <w:rPr>
          <w:rFonts w:cs="Calibri"/>
          <w:sz w:val="20"/>
          <w:szCs w:val="20"/>
        </w:rPr>
        <w:t xml:space="preserve"> </w:t>
      </w:r>
      <w:r w:rsidR="007A4273" w:rsidRPr="00EC20A2">
        <w:rPr>
          <w:rFonts w:cs="Calibri"/>
          <w:sz w:val="20"/>
          <w:szCs w:val="20"/>
        </w:rPr>
        <w:t>(</w:t>
      </w:r>
      <w:r w:rsidRPr="00EC20A2">
        <w:rPr>
          <w:rFonts w:cs="Calibri"/>
          <w:sz w:val="20"/>
          <w:szCs w:val="20"/>
        </w:rPr>
        <w:t>dále</w:t>
      </w:r>
      <w:r w:rsidRPr="00DC659D">
        <w:rPr>
          <w:rFonts w:cs="Calibri"/>
          <w:sz w:val="20"/>
          <w:szCs w:val="20"/>
        </w:rPr>
        <w:t xml:space="preserve"> jen „</w:t>
      </w:r>
      <w:r w:rsidR="00A726EF">
        <w:rPr>
          <w:rFonts w:cs="Calibri"/>
          <w:sz w:val="20"/>
          <w:szCs w:val="20"/>
        </w:rPr>
        <w:t>Veřejná zakázka</w:t>
      </w:r>
      <w:r w:rsidRPr="00DC659D">
        <w:rPr>
          <w:rFonts w:cs="Calibri"/>
          <w:sz w:val="20"/>
          <w:szCs w:val="20"/>
        </w:rPr>
        <w:t xml:space="preserve">“), zadávaném </w:t>
      </w:r>
      <w:r w:rsidR="00A726EF" w:rsidRPr="00A726EF">
        <w:rPr>
          <w:rFonts w:cs="Calibri"/>
          <w:sz w:val="20"/>
          <w:szCs w:val="20"/>
        </w:rPr>
        <w:t xml:space="preserve">přiměřeně dle Metodického pokynu pro oblast zadávání zakázek pro programové období </w:t>
      </w:r>
      <w:proofErr w:type="gramStart"/>
      <w:r w:rsidR="00A726EF" w:rsidRPr="00A726EF">
        <w:rPr>
          <w:rFonts w:cs="Calibri"/>
          <w:sz w:val="20"/>
          <w:szCs w:val="20"/>
        </w:rPr>
        <w:t>2021 – 2027</w:t>
      </w:r>
      <w:proofErr w:type="gramEnd"/>
      <w:r w:rsidR="00A726EF" w:rsidRPr="00A726EF">
        <w:rPr>
          <w:rFonts w:cs="Calibri"/>
          <w:sz w:val="20"/>
          <w:szCs w:val="20"/>
        </w:rPr>
        <w:t xml:space="preserve"> vydaného Ministerstvem pro místní rozvoj (dále jen „Pravidla“) a dle § 56 zákona č. 134/2016 Sb., o</w:t>
      </w:r>
      <w:r w:rsidR="008A2D3B">
        <w:rPr>
          <w:rFonts w:cs="Calibri"/>
          <w:sz w:val="20"/>
          <w:szCs w:val="20"/>
        </w:rPr>
        <w:t> </w:t>
      </w:r>
      <w:r w:rsidR="00A726EF" w:rsidRPr="00A726EF">
        <w:rPr>
          <w:rFonts w:cs="Calibri"/>
          <w:sz w:val="20"/>
          <w:szCs w:val="20"/>
        </w:rPr>
        <w:t>zadávání veřejných zakázek, v platném znění</w:t>
      </w:r>
      <w:r w:rsidR="00400471" w:rsidRPr="00DC659D">
        <w:rPr>
          <w:rFonts w:cs="Calibri"/>
          <w:sz w:val="20"/>
          <w:szCs w:val="20"/>
        </w:rPr>
        <w:t>.</w:t>
      </w:r>
    </w:p>
    <w:p w14:paraId="09539455" w14:textId="77777777" w:rsidR="00104657" w:rsidRPr="00DC659D" w:rsidRDefault="00104657" w:rsidP="00E268FE">
      <w:pPr>
        <w:pStyle w:val="Bezmezer"/>
        <w:numPr>
          <w:ilvl w:val="1"/>
          <w:numId w:val="3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Touto smlouvou se prodávající zavazuje dodat za podmínek v ní sjednaných kupujícímu zboží, uvedené v článku 3. této smlouvy a převést na něj vlastnické právo k tomuto zboží.</w:t>
      </w:r>
    </w:p>
    <w:p w14:paraId="666E34A7" w14:textId="77777777" w:rsidR="00104657" w:rsidRPr="00DC659D" w:rsidRDefault="00104657" w:rsidP="00E268FE">
      <w:pPr>
        <w:pStyle w:val="Bezmezer"/>
        <w:numPr>
          <w:ilvl w:val="1"/>
          <w:numId w:val="3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Kupující se zavazuje zboží převzít a zaplatit za něj sjednanou kupní cenu způsobem a v termínu stanoveném touto smlouvou.</w:t>
      </w:r>
    </w:p>
    <w:p w14:paraId="676D9A30" w14:textId="4925A5B3" w:rsidR="00A067D4" w:rsidRPr="0075035D" w:rsidRDefault="00104657" w:rsidP="00E268FE">
      <w:pPr>
        <w:pStyle w:val="Bezmezer"/>
        <w:numPr>
          <w:ilvl w:val="1"/>
          <w:numId w:val="3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Předmět plnění bude </w:t>
      </w:r>
      <w:r w:rsidR="00400471" w:rsidRPr="00DC659D">
        <w:rPr>
          <w:rFonts w:cs="Calibri"/>
          <w:sz w:val="20"/>
          <w:szCs w:val="20"/>
        </w:rPr>
        <w:t>spolu</w:t>
      </w:r>
      <w:r w:rsidRPr="00DC659D">
        <w:rPr>
          <w:rFonts w:cs="Calibri"/>
          <w:sz w:val="20"/>
          <w:szCs w:val="20"/>
        </w:rPr>
        <w:t>financován z</w:t>
      </w:r>
      <w:r w:rsidR="00A726EF" w:rsidRPr="00A726EF">
        <w:rPr>
          <w:rFonts w:cs="Calibri"/>
          <w:sz w:val="20"/>
          <w:szCs w:val="20"/>
        </w:rPr>
        <w:t xml:space="preserve"> </w:t>
      </w:r>
      <w:proofErr w:type="gramStart"/>
      <w:r w:rsidR="00956BE6" w:rsidRPr="00956BE6">
        <w:rPr>
          <w:rFonts w:cs="Calibri"/>
          <w:sz w:val="20"/>
          <w:szCs w:val="20"/>
        </w:rPr>
        <w:t>RRF - Národního</w:t>
      </w:r>
      <w:proofErr w:type="gramEnd"/>
      <w:r w:rsidR="00956BE6" w:rsidRPr="00956BE6">
        <w:rPr>
          <w:rFonts w:cs="Calibri"/>
          <w:sz w:val="20"/>
          <w:szCs w:val="20"/>
        </w:rPr>
        <w:t xml:space="preserve"> plánu obnovy ČR, výzva č. 44 - Kybernetická bezpečnost – doprava, v rámci žádosti s názvem </w:t>
      </w:r>
      <w:r w:rsidR="00956BE6" w:rsidRPr="00956BE6">
        <w:rPr>
          <w:rFonts w:cs="Calibri"/>
          <w:b/>
          <w:bCs/>
          <w:sz w:val="20"/>
          <w:szCs w:val="20"/>
        </w:rPr>
        <w:t xml:space="preserve">"Zajištění kybernetické bezpečnosti informačních systémů CDV", </w:t>
      </w:r>
      <w:proofErr w:type="spellStart"/>
      <w:r w:rsidR="00956BE6" w:rsidRPr="00956BE6">
        <w:rPr>
          <w:rFonts w:cs="Calibri"/>
          <w:b/>
          <w:bCs/>
          <w:sz w:val="20"/>
          <w:szCs w:val="20"/>
        </w:rPr>
        <w:t>reg</w:t>
      </w:r>
      <w:proofErr w:type="spellEnd"/>
      <w:r w:rsidR="00956BE6" w:rsidRPr="00956BE6">
        <w:rPr>
          <w:rFonts w:cs="Calibri"/>
          <w:b/>
          <w:bCs/>
          <w:sz w:val="20"/>
          <w:szCs w:val="20"/>
        </w:rPr>
        <w:t>.</w:t>
      </w:r>
      <w:r w:rsidR="00956BE6" w:rsidRPr="00956BE6">
        <w:rPr>
          <w:rFonts w:cs="Calibri"/>
          <w:sz w:val="20"/>
          <w:szCs w:val="20"/>
        </w:rPr>
        <w:t> </w:t>
      </w:r>
      <w:r w:rsidR="00956BE6" w:rsidRPr="00956BE6">
        <w:rPr>
          <w:rFonts w:cs="Calibri"/>
          <w:b/>
          <w:bCs/>
          <w:sz w:val="20"/>
          <w:szCs w:val="20"/>
        </w:rPr>
        <w:t>č.</w:t>
      </w:r>
      <w:r w:rsidR="00956BE6" w:rsidRPr="00956BE6">
        <w:rPr>
          <w:rFonts w:cs="Calibri"/>
          <w:sz w:val="20"/>
          <w:szCs w:val="20"/>
        </w:rPr>
        <w:t> </w:t>
      </w:r>
      <w:r w:rsidR="004028A4" w:rsidRPr="004028A4">
        <w:rPr>
          <w:rFonts w:cs="Calibri"/>
          <w:sz w:val="20"/>
          <w:szCs w:val="20"/>
        </w:rPr>
        <w:t>CZ.31.2.0/0.0/0.0/23_096/0011597</w:t>
      </w:r>
      <w:r w:rsidR="00956BE6" w:rsidRPr="00956BE6">
        <w:rPr>
          <w:rFonts w:cs="Calibri"/>
          <w:sz w:val="20"/>
          <w:szCs w:val="20"/>
        </w:rPr>
        <w:t xml:space="preserve"> </w:t>
      </w:r>
      <w:r w:rsidR="008A2D3B">
        <w:rPr>
          <w:rFonts w:cs="Calibri"/>
          <w:sz w:val="20"/>
          <w:szCs w:val="20"/>
        </w:rPr>
        <w:t>(</w:t>
      </w:r>
      <w:r w:rsidR="00EC20A2">
        <w:rPr>
          <w:rFonts w:cs="Calibri"/>
          <w:sz w:val="20"/>
          <w:szCs w:val="20"/>
        </w:rPr>
        <w:t xml:space="preserve">dále </w:t>
      </w:r>
      <w:r w:rsidR="00A726EF">
        <w:rPr>
          <w:rFonts w:cs="Calibri"/>
          <w:sz w:val="20"/>
          <w:szCs w:val="20"/>
        </w:rPr>
        <w:t>jen „Projekt</w:t>
      </w:r>
      <w:r w:rsidR="00A067D4">
        <w:rPr>
          <w:rFonts w:cs="Calibri"/>
          <w:sz w:val="20"/>
          <w:szCs w:val="20"/>
        </w:rPr>
        <w:t>y</w:t>
      </w:r>
      <w:r w:rsidR="00A726EF">
        <w:rPr>
          <w:rFonts w:cs="Calibri"/>
          <w:sz w:val="20"/>
          <w:szCs w:val="20"/>
        </w:rPr>
        <w:t>“).</w:t>
      </w:r>
    </w:p>
    <w:p w14:paraId="72C10777" w14:textId="77777777" w:rsidR="00104657" w:rsidRPr="00DC659D" w:rsidRDefault="00104657" w:rsidP="00400471">
      <w:pPr>
        <w:pStyle w:val="Bezmezer"/>
        <w:spacing w:line="280" w:lineRule="atLeast"/>
        <w:ind w:left="360"/>
        <w:jc w:val="center"/>
        <w:rPr>
          <w:rFonts w:cs="Calibri"/>
          <w:b/>
          <w:sz w:val="20"/>
          <w:szCs w:val="20"/>
        </w:rPr>
      </w:pPr>
      <w:r w:rsidRPr="00DC659D">
        <w:rPr>
          <w:rFonts w:cs="Calibri"/>
          <w:b/>
          <w:sz w:val="20"/>
          <w:szCs w:val="20"/>
        </w:rPr>
        <w:lastRenderedPageBreak/>
        <w:t>3</w:t>
      </w:r>
      <w:r w:rsidRPr="00DC659D">
        <w:rPr>
          <w:rFonts w:eastAsia="Batang" w:cs="Calibri"/>
          <w:b/>
          <w:sz w:val="20"/>
          <w:szCs w:val="20"/>
          <w:lang w:eastAsia="cs-CZ"/>
        </w:rPr>
        <w:t xml:space="preserve">. Předmět </w:t>
      </w:r>
      <w:r w:rsidR="007A4273" w:rsidRPr="00DC659D">
        <w:rPr>
          <w:rFonts w:eastAsia="Batang" w:cs="Calibri"/>
          <w:b/>
          <w:sz w:val="20"/>
          <w:szCs w:val="20"/>
          <w:lang w:eastAsia="cs-CZ"/>
        </w:rPr>
        <w:t>koupě</w:t>
      </w:r>
    </w:p>
    <w:p w14:paraId="72484CE0" w14:textId="05EDDF46" w:rsidR="00104657" w:rsidRPr="006844B4" w:rsidRDefault="00400471" w:rsidP="00E268FE">
      <w:pPr>
        <w:pStyle w:val="Zkladntext"/>
        <w:numPr>
          <w:ilvl w:val="0"/>
          <w:numId w:val="4"/>
        </w:numPr>
        <w:tabs>
          <w:tab w:val="clear" w:pos="720"/>
        </w:tabs>
        <w:spacing w:line="280" w:lineRule="atLeast"/>
        <w:ind w:left="567" w:hanging="567"/>
        <w:jc w:val="both"/>
        <w:rPr>
          <w:rFonts w:ascii="Calibri" w:hAnsi="Calibri" w:cs="Calibri"/>
        </w:rPr>
      </w:pPr>
      <w:r w:rsidRPr="006844B4">
        <w:rPr>
          <w:rFonts w:ascii="Calibri" w:hAnsi="Calibri" w:cs="Calibri"/>
        </w:rPr>
        <w:t xml:space="preserve">Předmětem </w:t>
      </w:r>
      <w:r w:rsidR="004370D2" w:rsidRPr="006844B4">
        <w:rPr>
          <w:rFonts w:ascii="Calibri" w:hAnsi="Calibri" w:cs="Calibri"/>
        </w:rPr>
        <w:t xml:space="preserve">smlouvy je </w:t>
      </w:r>
      <w:r w:rsidR="006844B4" w:rsidRPr="006844B4">
        <w:rPr>
          <w:rFonts w:ascii="Calibri" w:hAnsi="Calibri" w:cs="Calibri"/>
          <w:b/>
          <w:bCs/>
        </w:rPr>
        <w:t xml:space="preserve">pořízení a implementace </w:t>
      </w:r>
      <w:bookmarkStart w:id="2" w:name="_Toc200134376"/>
      <w:r w:rsidR="00956BE6" w:rsidRPr="00956BE6">
        <w:rPr>
          <w:rFonts w:ascii="Calibri" w:hAnsi="Calibri" w:cs="Calibri"/>
          <w:b/>
          <w:bCs/>
        </w:rPr>
        <w:t>virtuální a BCM infrastruktur</w:t>
      </w:r>
      <w:r w:rsidR="00956BE6">
        <w:rPr>
          <w:rFonts w:ascii="Calibri" w:hAnsi="Calibri" w:cs="Calibri"/>
          <w:b/>
          <w:bCs/>
        </w:rPr>
        <w:t>y</w:t>
      </w:r>
      <w:r w:rsidR="00956BE6" w:rsidRPr="00956BE6">
        <w:rPr>
          <w:rFonts w:ascii="Calibri" w:hAnsi="Calibri" w:cs="Calibri"/>
          <w:b/>
          <w:bCs/>
        </w:rPr>
        <w:t xml:space="preserve"> on-premise</w:t>
      </w:r>
      <w:bookmarkEnd w:id="2"/>
      <w:r w:rsidR="006844B4">
        <w:rPr>
          <w:rFonts w:ascii="Calibri" w:hAnsi="Calibri" w:cs="Calibri"/>
        </w:rPr>
        <w:t>, je</w:t>
      </w:r>
      <w:r w:rsidR="00956BE6">
        <w:rPr>
          <w:rFonts w:ascii="Calibri" w:hAnsi="Calibri" w:cs="Calibri"/>
        </w:rPr>
        <w:t>jíž</w:t>
      </w:r>
      <w:r w:rsidR="006844B4">
        <w:rPr>
          <w:rFonts w:ascii="Calibri" w:hAnsi="Calibri" w:cs="Calibri"/>
        </w:rPr>
        <w:t xml:space="preserve"> </w:t>
      </w:r>
      <w:r w:rsidR="00E8152A" w:rsidRPr="006844B4">
        <w:rPr>
          <w:rFonts w:ascii="Calibri" w:hAnsi="Calibri" w:cs="Calibri"/>
        </w:rPr>
        <w:t>specifikace včetně technických parametrů je uvedena v příloze č. 1 této smlouvy (dále jen „zboží“).</w:t>
      </w:r>
    </w:p>
    <w:p w14:paraId="5ABA15E6" w14:textId="77777777" w:rsidR="00104657" w:rsidRPr="00DC659D" w:rsidRDefault="00104657" w:rsidP="00E268FE">
      <w:pPr>
        <w:pStyle w:val="Zkladntext"/>
        <w:numPr>
          <w:ilvl w:val="0"/>
          <w:numId w:val="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 xml:space="preserve">Součástí předmětu </w:t>
      </w:r>
      <w:r w:rsidR="00180929" w:rsidRPr="00DC659D">
        <w:rPr>
          <w:rFonts w:ascii="Calibri" w:hAnsi="Calibri" w:cs="Calibri"/>
        </w:rPr>
        <w:t>koupě</w:t>
      </w:r>
      <w:r w:rsidRPr="00DC659D">
        <w:rPr>
          <w:rFonts w:ascii="Calibri" w:hAnsi="Calibri" w:cs="Calibri"/>
        </w:rPr>
        <w:t xml:space="preserve"> jsou i veškeré doklady požadované právními předpisy k používání předmětu </w:t>
      </w:r>
      <w:proofErr w:type="gramStart"/>
      <w:r w:rsidR="007A4273" w:rsidRPr="00DC659D">
        <w:rPr>
          <w:rFonts w:ascii="Calibri" w:hAnsi="Calibri" w:cs="Calibri"/>
        </w:rPr>
        <w:t>koupě</w:t>
      </w:r>
      <w:r w:rsidRPr="00DC659D">
        <w:rPr>
          <w:rFonts w:ascii="Calibri" w:hAnsi="Calibri" w:cs="Calibri"/>
        </w:rPr>
        <w:t xml:space="preserve"> - zboží</w:t>
      </w:r>
      <w:proofErr w:type="gramEnd"/>
      <w:r w:rsidRPr="00DC659D">
        <w:rPr>
          <w:rFonts w:ascii="Calibri" w:hAnsi="Calibri" w:cs="Calibri"/>
        </w:rPr>
        <w:t xml:space="preserve">. Prodávající prohlašuje, že předmět </w:t>
      </w:r>
      <w:r w:rsidR="007A4273" w:rsidRPr="00DC659D">
        <w:rPr>
          <w:rFonts w:ascii="Calibri" w:hAnsi="Calibri" w:cs="Calibri"/>
        </w:rPr>
        <w:t>koupě</w:t>
      </w:r>
      <w:r w:rsidRPr="00DC659D">
        <w:rPr>
          <w:rFonts w:ascii="Calibri" w:hAnsi="Calibri" w:cs="Calibri"/>
        </w:rPr>
        <w:t xml:space="preserve"> splňuje veškeré podmínky stanovené právními předpisy k</w:t>
      </w:r>
      <w:r w:rsidR="007A4273" w:rsidRPr="00DC659D">
        <w:rPr>
          <w:rFonts w:ascii="Calibri" w:hAnsi="Calibri" w:cs="Calibri"/>
        </w:rPr>
        <w:t xml:space="preserve"> jeho </w:t>
      </w:r>
      <w:r w:rsidRPr="00DC659D">
        <w:rPr>
          <w:rFonts w:ascii="Calibri" w:hAnsi="Calibri" w:cs="Calibri"/>
        </w:rPr>
        <w:t xml:space="preserve">používání, a že kupujícímu předá veškeré doklady potřebné k provozování předmětu </w:t>
      </w:r>
      <w:r w:rsidR="007A4273" w:rsidRPr="00DC659D">
        <w:rPr>
          <w:rFonts w:ascii="Calibri" w:hAnsi="Calibri" w:cs="Calibri"/>
        </w:rPr>
        <w:t>koupě</w:t>
      </w:r>
      <w:r w:rsidRPr="00DC659D">
        <w:rPr>
          <w:rFonts w:ascii="Calibri" w:hAnsi="Calibri" w:cs="Calibri"/>
        </w:rPr>
        <w:t>, za což kupujícímu ručí.</w:t>
      </w:r>
    </w:p>
    <w:p w14:paraId="2FE70161" w14:textId="6F5AC8AC" w:rsidR="00104657" w:rsidRPr="00DC659D" w:rsidRDefault="00104657" w:rsidP="00E268FE">
      <w:pPr>
        <w:pStyle w:val="Zkladntext"/>
        <w:numPr>
          <w:ilvl w:val="0"/>
          <w:numId w:val="4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  <w:u w:val="single"/>
        </w:rPr>
      </w:pPr>
      <w:r w:rsidRPr="00DC659D">
        <w:rPr>
          <w:rFonts w:ascii="Calibri" w:hAnsi="Calibri" w:cs="Calibri"/>
          <w:u w:val="single"/>
        </w:rPr>
        <w:t xml:space="preserve">Předmětem </w:t>
      </w:r>
      <w:r w:rsidR="00510FDC">
        <w:rPr>
          <w:rFonts w:ascii="Calibri" w:hAnsi="Calibri" w:cs="Calibri"/>
          <w:u w:val="single"/>
        </w:rPr>
        <w:t>plnění</w:t>
      </w:r>
      <w:r w:rsidRPr="00DC659D">
        <w:rPr>
          <w:rFonts w:ascii="Calibri" w:hAnsi="Calibri" w:cs="Calibri"/>
          <w:u w:val="single"/>
        </w:rPr>
        <w:t xml:space="preserve"> dle této smlouvy je dále:</w:t>
      </w:r>
    </w:p>
    <w:p w14:paraId="4C2CC47F" w14:textId="77777777" w:rsidR="003E5FD5" w:rsidRDefault="003E5FD5" w:rsidP="00E268FE">
      <w:pPr>
        <w:numPr>
          <w:ilvl w:val="1"/>
          <w:numId w:val="6"/>
        </w:numPr>
        <w:tabs>
          <w:tab w:val="clear" w:pos="720"/>
          <w:tab w:val="num" w:pos="993"/>
        </w:tabs>
        <w:spacing w:line="280" w:lineRule="atLeast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8E596A">
        <w:rPr>
          <w:rFonts w:ascii="Calibri" w:hAnsi="Calibri" w:cs="Calibri"/>
          <w:sz w:val="20"/>
          <w:szCs w:val="20"/>
        </w:rPr>
        <w:t>doprava do místa plnění,</w:t>
      </w:r>
    </w:p>
    <w:p w14:paraId="6C7B294E" w14:textId="77777777" w:rsidR="003E5FD5" w:rsidRPr="000C0912" w:rsidRDefault="000C0912" w:rsidP="00E268FE">
      <w:pPr>
        <w:numPr>
          <w:ilvl w:val="1"/>
          <w:numId w:val="6"/>
        </w:numPr>
        <w:tabs>
          <w:tab w:val="clear" w:pos="720"/>
          <w:tab w:val="num" w:pos="993"/>
        </w:tabs>
        <w:spacing w:line="280" w:lineRule="atLeast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0C0912">
        <w:rPr>
          <w:rFonts w:ascii="Calibri" w:hAnsi="Calibri" w:cs="Calibri"/>
          <w:sz w:val="20"/>
          <w:szCs w:val="20"/>
        </w:rPr>
        <w:t>implementace</w:t>
      </w:r>
      <w:r>
        <w:rPr>
          <w:rFonts w:ascii="Calibri" w:hAnsi="Calibri" w:cs="Calibri"/>
          <w:sz w:val="20"/>
          <w:szCs w:val="20"/>
        </w:rPr>
        <w:t xml:space="preserve">, tj. </w:t>
      </w:r>
      <w:r w:rsidRPr="000C0912">
        <w:rPr>
          <w:rFonts w:ascii="Calibri" w:hAnsi="Calibri" w:cs="Calibri"/>
          <w:sz w:val="20"/>
          <w:szCs w:val="20"/>
        </w:rPr>
        <w:t xml:space="preserve">veškeré nezbytné práce </w:t>
      </w:r>
      <w:r>
        <w:rPr>
          <w:rFonts w:ascii="Calibri" w:hAnsi="Calibri" w:cs="Calibri"/>
          <w:sz w:val="20"/>
          <w:szCs w:val="20"/>
        </w:rPr>
        <w:t>jejichž</w:t>
      </w:r>
      <w:r w:rsidRPr="000C0912">
        <w:rPr>
          <w:rFonts w:ascii="Calibri" w:hAnsi="Calibri" w:cs="Calibri"/>
          <w:sz w:val="20"/>
          <w:szCs w:val="20"/>
        </w:rPr>
        <w:t xml:space="preserve"> smyslem je zprovozněn</w:t>
      </w:r>
      <w:r>
        <w:rPr>
          <w:rFonts w:ascii="Calibri" w:hAnsi="Calibri" w:cs="Calibri"/>
          <w:sz w:val="20"/>
          <w:szCs w:val="20"/>
        </w:rPr>
        <w:t>í</w:t>
      </w:r>
      <w:r w:rsidRPr="000C0912">
        <w:rPr>
          <w:rFonts w:ascii="Calibri" w:hAnsi="Calibri" w:cs="Calibri"/>
          <w:sz w:val="20"/>
          <w:szCs w:val="20"/>
        </w:rPr>
        <w:t xml:space="preserve"> včetně zapojení do stávajícího prostředí</w:t>
      </w:r>
      <w:r>
        <w:rPr>
          <w:rFonts w:ascii="Calibri" w:hAnsi="Calibri" w:cs="Calibri"/>
          <w:sz w:val="20"/>
          <w:szCs w:val="20"/>
        </w:rPr>
        <w:t xml:space="preserve"> kupujícího</w:t>
      </w:r>
      <w:r w:rsidRPr="000C0912">
        <w:rPr>
          <w:rFonts w:ascii="Calibri" w:hAnsi="Calibri" w:cs="Calibri"/>
          <w:sz w:val="20"/>
          <w:szCs w:val="20"/>
        </w:rPr>
        <w:t xml:space="preserve"> tak, aby je </w:t>
      </w:r>
      <w:r>
        <w:rPr>
          <w:rFonts w:ascii="Calibri" w:hAnsi="Calibri" w:cs="Calibri"/>
          <w:sz w:val="20"/>
          <w:szCs w:val="20"/>
        </w:rPr>
        <w:t>kupující</w:t>
      </w:r>
      <w:r w:rsidRPr="000C0912">
        <w:rPr>
          <w:rFonts w:ascii="Calibri" w:hAnsi="Calibri" w:cs="Calibri"/>
          <w:sz w:val="20"/>
          <w:szCs w:val="20"/>
        </w:rPr>
        <w:t xml:space="preserve"> mohl užívat obvyklým způsobem</w:t>
      </w:r>
      <w:r w:rsidR="00FD104E">
        <w:rPr>
          <w:rFonts w:ascii="Calibri" w:hAnsi="Calibri" w:cs="Calibri"/>
          <w:sz w:val="20"/>
          <w:szCs w:val="20"/>
        </w:rPr>
        <w:t xml:space="preserve"> (dále jen „implementace“)</w:t>
      </w:r>
      <w:r>
        <w:rPr>
          <w:rFonts w:ascii="Calibri" w:hAnsi="Calibri" w:cs="Calibri"/>
          <w:sz w:val="20"/>
          <w:szCs w:val="20"/>
        </w:rPr>
        <w:t>,</w:t>
      </w:r>
    </w:p>
    <w:p w14:paraId="4BEC8820" w14:textId="77777777" w:rsidR="005E2118" w:rsidRDefault="003E5FD5" w:rsidP="00E268FE">
      <w:pPr>
        <w:numPr>
          <w:ilvl w:val="1"/>
          <w:numId w:val="6"/>
        </w:numPr>
        <w:tabs>
          <w:tab w:val="clear" w:pos="720"/>
          <w:tab w:val="num" w:pos="993"/>
        </w:tabs>
        <w:spacing w:line="280" w:lineRule="atLeast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8E596A">
        <w:rPr>
          <w:rFonts w:ascii="Calibri" w:hAnsi="Calibri" w:cs="Calibri"/>
          <w:sz w:val="20"/>
          <w:szCs w:val="20"/>
        </w:rPr>
        <w:t>předání průvodní dokumentace</w:t>
      </w:r>
      <w:r w:rsidR="000C0912">
        <w:rPr>
          <w:rFonts w:ascii="Calibri" w:hAnsi="Calibri" w:cs="Calibri"/>
          <w:sz w:val="20"/>
          <w:szCs w:val="20"/>
        </w:rPr>
        <w:t>,</w:t>
      </w:r>
    </w:p>
    <w:p w14:paraId="4C2F17F4" w14:textId="77777777" w:rsidR="001B3BC3" w:rsidRDefault="001B3BC3" w:rsidP="00E268FE">
      <w:pPr>
        <w:numPr>
          <w:ilvl w:val="1"/>
          <w:numId w:val="6"/>
        </w:numPr>
        <w:tabs>
          <w:tab w:val="clear" w:pos="720"/>
          <w:tab w:val="num" w:pos="993"/>
        </w:tabs>
        <w:spacing w:line="280" w:lineRule="atLeast"/>
        <w:ind w:left="993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zaškolení </w:t>
      </w:r>
      <w:r w:rsidR="006D4BE5">
        <w:rPr>
          <w:rFonts w:ascii="Calibri" w:hAnsi="Calibri" w:cs="Calibri"/>
          <w:sz w:val="20"/>
          <w:szCs w:val="20"/>
        </w:rPr>
        <w:t>kupujícího</w:t>
      </w:r>
      <w:r w:rsidR="00347B52">
        <w:rPr>
          <w:rFonts w:ascii="Calibri" w:hAnsi="Calibri" w:cs="Calibri"/>
          <w:sz w:val="20"/>
          <w:szCs w:val="20"/>
        </w:rPr>
        <w:t>,</w:t>
      </w:r>
    </w:p>
    <w:p w14:paraId="45B6CDCC" w14:textId="77777777" w:rsidR="00060DDE" w:rsidRDefault="00060DDE" w:rsidP="00E268FE">
      <w:pPr>
        <w:numPr>
          <w:ilvl w:val="1"/>
          <w:numId w:val="6"/>
        </w:numPr>
        <w:tabs>
          <w:tab w:val="clear" w:pos="720"/>
          <w:tab w:val="num" w:pos="993"/>
        </w:tabs>
        <w:spacing w:line="280" w:lineRule="atLeast"/>
        <w:ind w:left="993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testovací provoz,</w:t>
      </w:r>
    </w:p>
    <w:p w14:paraId="106E5351" w14:textId="166D2116" w:rsidR="000420B9" w:rsidRPr="00510FDC" w:rsidRDefault="00510FDC" w:rsidP="00E268FE">
      <w:pPr>
        <w:numPr>
          <w:ilvl w:val="1"/>
          <w:numId w:val="6"/>
        </w:numPr>
        <w:tabs>
          <w:tab w:val="clear" w:pos="720"/>
          <w:tab w:val="num" w:pos="993"/>
        </w:tabs>
        <w:spacing w:line="280" w:lineRule="atLeast"/>
        <w:ind w:left="993" w:hanging="284"/>
        <w:jc w:val="both"/>
        <w:rPr>
          <w:rFonts w:ascii="Calibri" w:hAnsi="Calibri" w:cs="Calibri"/>
          <w:b/>
        </w:rPr>
      </w:pPr>
      <w:r w:rsidRPr="00510FDC">
        <w:rPr>
          <w:rFonts w:ascii="Calibri" w:hAnsi="Calibri" w:cs="Calibri"/>
          <w:sz w:val="20"/>
          <w:szCs w:val="20"/>
        </w:rPr>
        <w:t>záruka za jakost na pět let, s požadovaným zprovozněním „</w:t>
      </w:r>
      <w:proofErr w:type="spellStart"/>
      <w:r w:rsidRPr="00510FDC">
        <w:rPr>
          <w:rFonts w:ascii="Calibri" w:hAnsi="Calibri" w:cs="Calibri"/>
          <w:sz w:val="20"/>
          <w:szCs w:val="20"/>
        </w:rPr>
        <w:t>Next</w:t>
      </w:r>
      <w:proofErr w:type="spellEnd"/>
      <w:r w:rsidRPr="00510FDC">
        <w:rPr>
          <w:rFonts w:ascii="Calibri" w:hAnsi="Calibri" w:cs="Calibri"/>
          <w:sz w:val="20"/>
          <w:szCs w:val="20"/>
        </w:rPr>
        <w:t xml:space="preserve"> Business </w:t>
      </w:r>
      <w:proofErr w:type="spellStart"/>
      <w:r w:rsidRPr="00510FDC">
        <w:rPr>
          <w:rFonts w:ascii="Calibri" w:hAnsi="Calibri" w:cs="Calibri"/>
          <w:sz w:val="20"/>
          <w:szCs w:val="20"/>
        </w:rPr>
        <w:t>Day</w:t>
      </w:r>
      <w:proofErr w:type="spellEnd"/>
      <w:r w:rsidRPr="00510FDC">
        <w:rPr>
          <w:rFonts w:ascii="Calibri" w:hAnsi="Calibri" w:cs="Calibri"/>
          <w:sz w:val="20"/>
          <w:szCs w:val="20"/>
        </w:rPr>
        <w:t xml:space="preserve"> on-</w:t>
      </w:r>
      <w:proofErr w:type="spellStart"/>
      <w:r w:rsidRPr="00510FDC">
        <w:rPr>
          <w:rFonts w:ascii="Calibri" w:hAnsi="Calibri" w:cs="Calibri"/>
          <w:sz w:val="20"/>
          <w:szCs w:val="20"/>
        </w:rPr>
        <w:t>site</w:t>
      </w:r>
      <w:proofErr w:type="spellEnd"/>
      <w:r w:rsidRPr="00510FDC">
        <w:rPr>
          <w:rFonts w:ascii="Calibri" w:hAnsi="Calibri" w:cs="Calibri"/>
          <w:sz w:val="20"/>
          <w:szCs w:val="20"/>
        </w:rPr>
        <w:t xml:space="preserve">“ v místě instalace a </w:t>
      </w:r>
      <w:proofErr w:type="spellStart"/>
      <w:r w:rsidRPr="00510FDC">
        <w:rPr>
          <w:rFonts w:ascii="Calibri" w:hAnsi="Calibri" w:cs="Calibri"/>
          <w:sz w:val="20"/>
          <w:szCs w:val="20"/>
        </w:rPr>
        <w:t>maintenance</w:t>
      </w:r>
      <w:proofErr w:type="spellEnd"/>
      <w:r w:rsidRPr="00510FDC">
        <w:rPr>
          <w:rFonts w:ascii="Calibri" w:hAnsi="Calibri" w:cs="Calibri"/>
          <w:sz w:val="20"/>
          <w:szCs w:val="20"/>
        </w:rPr>
        <w:t xml:space="preserve"> s přímou návazností na tuto záruku a právo užití poskytnutého plnění.</w:t>
      </w:r>
    </w:p>
    <w:p w14:paraId="2B2A7936" w14:textId="77777777" w:rsidR="00510FDC" w:rsidRPr="00510FDC" w:rsidRDefault="00510FDC" w:rsidP="00510FDC">
      <w:pPr>
        <w:spacing w:line="280" w:lineRule="atLeast"/>
        <w:ind w:left="720"/>
        <w:jc w:val="both"/>
        <w:rPr>
          <w:rFonts w:ascii="Calibri" w:hAnsi="Calibri" w:cs="Calibri"/>
          <w:b/>
        </w:rPr>
      </w:pPr>
    </w:p>
    <w:p w14:paraId="737EF582" w14:textId="77777777" w:rsidR="00104657" w:rsidRPr="00DC659D" w:rsidRDefault="00104657" w:rsidP="00BC686A">
      <w:pPr>
        <w:tabs>
          <w:tab w:val="left" w:pos="300"/>
          <w:tab w:val="center" w:pos="4536"/>
        </w:tabs>
        <w:spacing w:line="280" w:lineRule="atLeast"/>
        <w:rPr>
          <w:rFonts w:ascii="Calibri" w:hAnsi="Calibri" w:cs="Calibri"/>
          <w:b/>
          <w:sz w:val="20"/>
          <w:szCs w:val="20"/>
        </w:rPr>
      </w:pPr>
      <w:r w:rsidRPr="00DC659D">
        <w:rPr>
          <w:rFonts w:ascii="Calibri" w:hAnsi="Calibri" w:cs="Calibri"/>
          <w:b/>
          <w:sz w:val="20"/>
          <w:szCs w:val="20"/>
        </w:rPr>
        <w:tab/>
      </w:r>
      <w:r w:rsidRPr="00DC659D">
        <w:rPr>
          <w:rFonts w:ascii="Calibri" w:hAnsi="Calibri" w:cs="Calibri"/>
          <w:b/>
          <w:sz w:val="20"/>
          <w:szCs w:val="20"/>
        </w:rPr>
        <w:tab/>
        <w:t>4. Kupní cena a platební podmínky</w:t>
      </w:r>
    </w:p>
    <w:p w14:paraId="689D6712" w14:textId="77777777" w:rsidR="00104657" w:rsidRPr="00DC659D" w:rsidRDefault="00104657" w:rsidP="00E268FE">
      <w:pPr>
        <w:numPr>
          <w:ilvl w:val="0"/>
          <w:numId w:val="5"/>
        </w:numPr>
        <w:tabs>
          <w:tab w:val="clear" w:pos="720"/>
          <w:tab w:val="num" w:pos="540"/>
        </w:tabs>
        <w:spacing w:after="120" w:line="280" w:lineRule="atLeast"/>
        <w:ind w:left="539" w:hanging="539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Celková </w:t>
      </w:r>
      <w:r w:rsidR="00E35AEE" w:rsidRPr="00DC659D">
        <w:rPr>
          <w:rFonts w:ascii="Calibri" w:hAnsi="Calibri" w:cs="Calibri"/>
          <w:sz w:val="20"/>
          <w:szCs w:val="20"/>
        </w:rPr>
        <w:t xml:space="preserve">kupní </w:t>
      </w:r>
      <w:r w:rsidRPr="00DC659D">
        <w:rPr>
          <w:rFonts w:ascii="Calibri" w:hAnsi="Calibri" w:cs="Calibri"/>
          <w:sz w:val="20"/>
          <w:szCs w:val="20"/>
        </w:rPr>
        <w:t>cena činí:</w:t>
      </w:r>
    </w:p>
    <w:p w14:paraId="79881EA3" w14:textId="77777777" w:rsidR="00546255" w:rsidRPr="000C0912" w:rsidRDefault="00EE3D7C" w:rsidP="00EE3D7C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Pr="000C0912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0C0912" w:rsidRPr="000C0912">
        <w:rPr>
          <w:rFonts w:ascii="Calibri" w:hAnsi="Calibri" w:cs="Calibri"/>
          <w:b/>
          <w:bCs/>
          <w:sz w:val="20"/>
          <w:szCs w:val="20"/>
        </w:rPr>
        <w:t xml:space="preserve">Kč </w:t>
      </w:r>
      <w:r w:rsidRPr="000C0912">
        <w:rPr>
          <w:rFonts w:ascii="Calibri" w:hAnsi="Calibri" w:cs="Calibri"/>
          <w:b/>
          <w:bCs/>
          <w:sz w:val="20"/>
          <w:szCs w:val="20"/>
        </w:rPr>
        <w:t>bez DPH</w:t>
      </w:r>
    </w:p>
    <w:p w14:paraId="760C5224" w14:textId="77777777" w:rsidR="00EE3D7C" w:rsidRPr="000C0912" w:rsidRDefault="00EE3D7C" w:rsidP="00EE3D7C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Pr="000C0912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0C0912" w:rsidRPr="000C0912">
        <w:rPr>
          <w:rFonts w:ascii="Calibri" w:hAnsi="Calibri" w:cs="Calibri"/>
          <w:b/>
          <w:bCs/>
          <w:sz w:val="20"/>
          <w:szCs w:val="20"/>
        </w:rPr>
        <w:t xml:space="preserve">Kč </w:t>
      </w:r>
      <w:r w:rsidRPr="000C0912">
        <w:rPr>
          <w:rFonts w:ascii="Calibri" w:hAnsi="Calibri" w:cs="Calibri"/>
          <w:b/>
          <w:bCs/>
          <w:sz w:val="20"/>
          <w:szCs w:val="20"/>
        </w:rPr>
        <w:t>DPH</w:t>
      </w:r>
    </w:p>
    <w:p w14:paraId="51B823E4" w14:textId="77777777" w:rsidR="00EE3D7C" w:rsidRPr="00EE3D7C" w:rsidRDefault="00EE3D7C" w:rsidP="00EE3D7C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Pr="000C0912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0C0912" w:rsidRPr="000C0912">
        <w:rPr>
          <w:rFonts w:ascii="Calibri" w:hAnsi="Calibri" w:cs="Calibri"/>
          <w:b/>
          <w:bCs/>
          <w:sz w:val="20"/>
          <w:szCs w:val="20"/>
        </w:rPr>
        <w:t xml:space="preserve">Kč </w:t>
      </w:r>
      <w:r w:rsidRPr="000C0912">
        <w:rPr>
          <w:rFonts w:ascii="Calibri" w:hAnsi="Calibri" w:cs="Calibri"/>
          <w:b/>
          <w:bCs/>
          <w:sz w:val="20"/>
          <w:szCs w:val="20"/>
        </w:rPr>
        <w:t>vč. DPH</w:t>
      </w:r>
    </w:p>
    <w:p w14:paraId="2045C290" w14:textId="0C59B16B" w:rsidR="004A65C7" w:rsidRPr="00DC1792" w:rsidRDefault="004A65C7" w:rsidP="00E268FE">
      <w:pPr>
        <w:numPr>
          <w:ilvl w:val="0"/>
          <w:numId w:val="5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1792">
        <w:rPr>
          <w:rFonts w:ascii="Calibri" w:hAnsi="Calibri" w:cs="Calibri"/>
          <w:sz w:val="20"/>
          <w:szCs w:val="20"/>
        </w:rPr>
        <w:t xml:space="preserve">Cena </w:t>
      </w:r>
      <w:r w:rsidR="001B3BC3">
        <w:rPr>
          <w:rFonts w:ascii="Calibri" w:hAnsi="Calibri" w:cs="Calibri"/>
          <w:sz w:val="20"/>
          <w:szCs w:val="20"/>
        </w:rPr>
        <w:t xml:space="preserve">bez DPH </w:t>
      </w:r>
      <w:r w:rsidRPr="00DC1792">
        <w:rPr>
          <w:rFonts w:ascii="Calibri" w:hAnsi="Calibri" w:cs="Calibri"/>
          <w:sz w:val="20"/>
          <w:szCs w:val="20"/>
        </w:rPr>
        <w:t xml:space="preserve">podle čl. </w:t>
      </w:r>
      <w:r>
        <w:rPr>
          <w:rFonts w:ascii="Calibri" w:hAnsi="Calibri" w:cs="Calibri"/>
          <w:sz w:val="20"/>
          <w:szCs w:val="20"/>
        </w:rPr>
        <w:t xml:space="preserve">4.1. </w:t>
      </w:r>
      <w:r w:rsidRPr="00DC1792">
        <w:rPr>
          <w:rFonts w:ascii="Calibri" w:hAnsi="Calibri" w:cs="Calibri"/>
          <w:sz w:val="20"/>
          <w:szCs w:val="20"/>
        </w:rPr>
        <w:t>této smlouvy je stanovena dle technické specifikace</w:t>
      </w:r>
      <w:r w:rsidR="000C0912">
        <w:rPr>
          <w:rFonts w:ascii="Calibri" w:hAnsi="Calibri" w:cs="Calibri"/>
          <w:sz w:val="20"/>
          <w:szCs w:val="20"/>
        </w:rPr>
        <w:t xml:space="preserve"> </w:t>
      </w:r>
      <w:r w:rsidR="000C0912" w:rsidRPr="00DC1792">
        <w:rPr>
          <w:rFonts w:ascii="Calibri" w:hAnsi="Calibri" w:cs="Calibri"/>
          <w:sz w:val="20"/>
          <w:szCs w:val="20"/>
        </w:rPr>
        <w:t>(Příloha č. 1</w:t>
      </w:r>
      <w:r w:rsidR="000C0912">
        <w:rPr>
          <w:rFonts w:ascii="Calibri" w:hAnsi="Calibri" w:cs="Calibri"/>
          <w:sz w:val="20"/>
          <w:szCs w:val="20"/>
        </w:rPr>
        <w:t xml:space="preserve"> této smlouvy)</w:t>
      </w:r>
      <w:r w:rsidRPr="00DC1792"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>jako</w:t>
      </w:r>
      <w:r>
        <w:rPr>
          <w:rFonts w:ascii="Calibri" w:hAnsi="Calibri" w:cs="Calibri"/>
          <w:sz w:val="20"/>
          <w:szCs w:val="20"/>
        </w:rPr>
        <w:t xml:space="preserve"> cena</w:t>
      </w:r>
      <w:r w:rsidRPr="00DC659D">
        <w:rPr>
          <w:rFonts w:ascii="Calibri" w:hAnsi="Calibri" w:cs="Calibri"/>
          <w:sz w:val="20"/>
          <w:szCs w:val="20"/>
        </w:rPr>
        <w:t xml:space="preserve"> nejvýše přípustná a konečná a zahrnuje celý předmět plnění dle této smlouvy</w:t>
      </w:r>
      <w:r w:rsidR="009F5539">
        <w:rPr>
          <w:rFonts w:ascii="Calibri" w:hAnsi="Calibri" w:cs="Calibri"/>
          <w:sz w:val="20"/>
          <w:szCs w:val="20"/>
        </w:rPr>
        <w:t>.</w:t>
      </w:r>
    </w:p>
    <w:p w14:paraId="2F45D4E5" w14:textId="77777777" w:rsidR="00104657" w:rsidRPr="00DC659D" w:rsidRDefault="00104657" w:rsidP="00E268FE">
      <w:pPr>
        <w:numPr>
          <w:ilvl w:val="0"/>
          <w:numId w:val="5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Sjednaná cena celkem může být změněna pouze v případě změny zákona č. 235/2004 Sb., o DPH, týkající se sazby DPH</w:t>
      </w:r>
      <w:r w:rsidR="001B3BC3">
        <w:rPr>
          <w:rFonts w:ascii="Calibri" w:hAnsi="Calibri" w:cs="Calibri"/>
          <w:sz w:val="20"/>
          <w:szCs w:val="20"/>
        </w:rPr>
        <w:t xml:space="preserve"> a v souvislosti s ustanoveními </w:t>
      </w:r>
      <w:r w:rsidR="003A223B">
        <w:rPr>
          <w:rFonts w:ascii="Calibri" w:hAnsi="Calibri" w:cs="Calibri"/>
          <w:sz w:val="20"/>
          <w:szCs w:val="20"/>
        </w:rPr>
        <w:t xml:space="preserve">§ 222 </w:t>
      </w:r>
      <w:r w:rsidR="001B3BC3">
        <w:rPr>
          <w:rFonts w:ascii="Calibri" w:hAnsi="Calibri" w:cs="Calibri"/>
          <w:sz w:val="20"/>
          <w:szCs w:val="20"/>
        </w:rPr>
        <w:t>zákona č. 134/2016 Sb.</w:t>
      </w:r>
      <w:r w:rsidR="003A223B">
        <w:rPr>
          <w:rFonts w:ascii="Calibri" w:hAnsi="Calibri" w:cs="Calibri"/>
          <w:sz w:val="20"/>
          <w:szCs w:val="20"/>
        </w:rPr>
        <w:t>, o zadávání veřejných zakázek.</w:t>
      </w:r>
    </w:p>
    <w:p w14:paraId="134BB324" w14:textId="77777777" w:rsidR="004F4E49" w:rsidRPr="004F4E49" w:rsidRDefault="004F4E49" w:rsidP="004F4E49">
      <w:pPr>
        <w:numPr>
          <w:ilvl w:val="0"/>
          <w:numId w:val="5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4F4E49">
        <w:rPr>
          <w:rFonts w:ascii="Calibri" w:hAnsi="Calibri" w:cs="Calibri"/>
          <w:sz w:val="20"/>
          <w:szCs w:val="20"/>
        </w:rPr>
        <w:t>Kupující se zavazuje zaplatit kupní cenu na základě faktur, vystavených prodávajícím a doručených kupujícímu dle níže uvedeného mechanismu:</w:t>
      </w:r>
    </w:p>
    <w:p w14:paraId="489D2E80" w14:textId="77777777" w:rsidR="004F4E49" w:rsidRPr="004F4E49" w:rsidRDefault="004F4E49" w:rsidP="004F4E49">
      <w:pPr>
        <w:numPr>
          <w:ilvl w:val="1"/>
          <w:numId w:val="7"/>
        </w:numPr>
        <w:tabs>
          <w:tab w:val="clear" w:pos="1440"/>
        </w:tabs>
        <w:spacing w:line="280" w:lineRule="atLeast"/>
        <w:jc w:val="both"/>
        <w:rPr>
          <w:rFonts w:ascii="Calibri" w:hAnsi="Calibri" w:cs="Calibri"/>
          <w:sz w:val="20"/>
          <w:szCs w:val="20"/>
        </w:rPr>
      </w:pPr>
      <w:r w:rsidRPr="004F4E49">
        <w:rPr>
          <w:rFonts w:ascii="Calibri" w:hAnsi="Calibri" w:cs="Calibri"/>
          <w:sz w:val="20"/>
          <w:szCs w:val="20"/>
        </w:rPr>
        <w:t xml:space="preserve">Prodávající vystaví zálohovou fakturu na 70 % z kupní ceny dodaného zboží </w:t>
      </w:r>
      <w:r w:rsidRPr="004F4E49">
        <w:rPr>
          <w:rFonts w:ascii="Calibri" w:hAnsi="Calibri" w:cs="Calibri"/>
          <w:bCs/>
          <w:sz w:val="20"/>
          <w:szCs w:val="20"/>
        </w:rPr>
        <w:t>po oboustranném podpisu zápisu o dodání zboží</w:t>
      </w:r>
      <w:r w:rsidRPr="004F4E49">
        <w:rPr>
          <w:rFonts w:ascii="Calibri" w:hAnsi="Calibri" w:cs="Calibri"/>
          <w:sz w:val="20"/>
          <w:szCs w:val="20"/>
        </w:rPr>
        <w:t>.</w:t>
      </w:r>
    </w:p>
    <w:p w14:paraId="39200222" w14:textId="106D3529" w:rsidR="004F4E49" w:rsidRPr="004F4E49" w:rsidRDefault="004F4E49" w:rsidP="004F4E49">
      <w:pPr>
        <w:numPr>
          <w:ilvl w:val="1"/>
          <w:numId w:val="7"/>
        </w:numPr>
        <w:tabs>
          <w:tab w:val="clear" w:pos="1440"/>
        </w:tabs>
        <w:spacing w:line="280" w:lineRule="atLeast"/>
        <w:jc w:val="both"/>
        <w:rPr>
          <w:rFonts w:ascii="Calibri" w:hAnsi="Calibri" w:cs="Calibri"/>
          <w:sz w:val="20"/>
          <w:szCs w:val="20"/>
        </w:rPr>
      </w:pPr>
      <w:r w:rsidRPr="004F4E49">
        <w:rPr>
          <w:rFonts w:ascii="Calibri" w:hAnsi="Calibri" w:cs="Calibri"/>
          <w:sz w:val="20"/>
          <w:szCs w:val="20"/>
        </w:rPr>
        <w:t xml:space="preserve">Prodávající vystaví fakturu na 30 % z celkové kupní ceny </w:t>
      </w:r>
      <w:r w:rsidRPr="004F4E49">
        <w:rPr>
          <w:rFonts w:ascii="Calibri" w:hAnsi="Calibri" w:cs="Calibri"/>
          <w:bCs/>
          <w:sz w:val="20"/>
          <w:szCs w:val="20"/>
        </w:rPr>
        <w:t>po oboustranném podpisu předávacího protokolu (tj. po předání a převzetí zboží do plného provozu</w:t>
      </w:r>
      <w:r w:rsidRPr="004F4E49">
        <w:rPr>
          <w:rFonts w:ascii="Calibri" w:hAnsi="Calibri" w:cs="Calibri"/>
          <w:sz w:val="20"/>
          <w:szCs w:val="20"/>
        </w:rPr>
        <w:t xml:space="preserve">). </w:t>
      </w:r>
    </w:p>
    <w:p w14:paraId="5BBEF170" w14:textId="3EE16632" w:rsidR="00CE41D7" w:rsidRDefault="7ECCD951" w:rsidP="00E268FE">
      <w:pPr>
        <w:numPr>
          <w:ilvl w:val="0"/>
          <w:numId w:val="5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78C23FE">
        <w:rPr>
          <w:rFonts w:ascii="Calibri" w:hAnsi="Calibri" w:cs="Calibri"/>
          <w:sz w:val="20"/>
          <w:szCs w:val="20"/>
        </w:rPr>
        <w:t xml:space="preserve">Cena </w:t>
      </w:r>
      <w:r w:rsidR="757BDB6A" w:rsidRPr="078C23FE">
        <w:rPr>
          <w:rFonts w:ascii="Calibri" w:hAnsi="Calibri" w:cs="Calibri"/>
          <w:sz w:val="20"/>
          <w:szCs w:val="20"/>
        </w:rPr>
        <w:t>za rozšířenou záruku</w:t>
      </w:r>
      <w:r w:rsidR="00F000F5">
        <w:rPr>
          <w:rFonts w:ascii="Calibri" w:hAnsi="Calibri" w:cs="Calibri"/>
          <w:sz w:val="20"/>
          <w:szCs w:val="20"/>
        </w:rPr>
        <w:t xml:space="preserve"> </w:t>
      </w:r>
      <w:r w:rsidR="757BDB6A" w:rsidRPr="078C23FE">
        <w:rPr>
          <w:rFonts w:ascii="Calibri" w:hAnsi="Calibri" w:cs="Calibri"/>
          <w:sz w:val="20"/>
          <w:szCs w:val="20"/>
        </w:rPr>
        <w:t xml:space="preserve">a další služby dle čl. 6.1 této smlouvy </w:t>
      </w:r>
      <w:r w:rsidRPr="078C23FE">
        <w:rPr>
          <w:rFonts w:ascii="Calibri" w:hAnsi="Calibri" w:cs="Calibri"/>
          <w:sz w:val="20"/>
          <w:szCs w:val="20"/>
        </w:rPr>
        <w:t>po předání zboží do provozu je stanovena dohodnou smluvních strany na:</w:t>
      </w:r>
    </w:p>
    <w:p w14:paraId="4741403C" w14:textId="7C6EFF50" w:rsidR="00CE41D7" w:rsidRDefault="00CE41D7" w:rsidP="00CE41D7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>
        <w:rPr>
          <w:rFonts w:ascii="Calibri" w:hAnsi="Calibri" w:cs="Calibri"/>
          <w:b/>
          <w:bCs/>
          <w:sz w:val="20"/>
          <w:szCs w:val="20"/>
        </w:rPr>
        <w:t xml:space="preserve">  Kč bez DPH za 1 rok</w:t>
      </w:r>
    </w:p>
    <w:p w14:paraId="2D4A22E0" w14:textId="77777777" w:rsidR="00CE41D7" w:rsidRDefault="00CE41D7" w:rsidP="00CE41D7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>
        <w:rPr>
          <w:rFonts w:ascii="Calibri" w:hAnsi="Calibri" w:cs="Calibri"/>
          <w:b/>
          <w:bCs/>
          <w:sz w:val="20"/>
          <w:szCs w:val="20"/>
        </w:rPr>
        <w:t xml:space="preserve">  Kč DPH</w:t>
      </w:r>
    </w:p>
    <w:p w14:paraId="1028C67E" w14:textId="3DD0EA41" w:rsidR="00CE41D7" w:rsidRDefault="00CE41D7" w:rsidP="00CE41D7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>
        <w:rPr>
          <w:rFonts w:ascii="Calibri" w:hAnsi="Calibri" w:cs="Calibri"/>
          <w:b/>
          <w:bCs/>
          <w:sz w:val="20"/>
          <w:szCs w:val="20"/>
        </w:rPr>
        <w:t xml:space="preserve">  vč. DPH za 1 rok</w:t>
      </w:r>
    </w:p>
    <w:p w14:paraId="07537E75" w14:textId="633F6C4B" w:rsidR="00CE41D7" w:rsidRPr="00CE41D7" w:rsidRDefault="7ECCD951" w:rsidP="00E268FE">
      <w:pPr>
        <w:numPr>
          <w:ilvl w:val="0"/>
          <w:numId w:val="5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78C23FE">
        <w:rPr>
          <w:rFonts w:ascii="Calibri" w:hAnsi="Calibri" w:cs="Calibri"/>
          <w:sz w:val="20"/>
          <w:szCs w:val="20"/>
        </w:rPr>
        <w:t xml:space="preserve">Úhrada ceny za </w:t>
      </w:r>
      <w:r w:rsidR="4A09FDE4" w:rsidRPr="078C23FE">
        <w:rPr>
          <w:rFonts w:ascii="Calibri" w:hAnsi="Calibri" w:cs="Calibri"/>
          <w:sz w:val="20"/>
          <w:szCs w:val="20"/>
        </w:rPr>
        <w:t>rozšířenou záruku</w:t>
      </w:r>
      <w:r w:rsidR="009C27D2">
        <w:rPr>
          <w:rFonts w:ascii="Calibri" w:hAnsi="Calibri" w:cs="Calibri"/>
          <w:sz w:val="20"/>
          <w:szCs w:val="20"/>
        </w:rPr>
        <w:t xml:space="preserve"> </w:t>
      </w:r>
      <w:r w:rsidR="4A09FDE4" w:rsidRPr="078C23FE">
        <w:rPr>
          <w:rFonts w:ascii="Calibri" w:hAnsi="Calibri" w:cs="Calibri"/>
          <w:sz w:val="20"/>
          <w:szCs w:val="20"/>
        </w:rPr>
        <w:t xml:space="preserve">a další služby dle čl. 6.1 této smlouvy </w:t>
      </w:r>
      <w:r w:rsidRPr="078C23FE">
        <w:rPr>
          <w:rFonts w:ascii="Calibri" w:hAnsi="Calibri" w:cs="Calibri"/>
          <w:sz w:val="20"/>
          <w:szCs w:val="20"/>
        </w:rPr>
        <w:t xml:space="preserve">bude probíhat na základě ročně vystavované faktury. Datum uskutečnitelného zdanitelného plnění je sjednáno na poslední kalendářní den každého 12. měsíce po dobu udržitelnosti (5 let). </w:t>
      </w:r>
    </w:p>
    <w:p w14:paraId="7CEF4BA1" w14:textId="15DDB0F8" w:rsidR="00104657" w:rsidRPr="002825CA" w:rsidRDefault="00104657" w:rsidP="00E268FE">
      <w:pPr>
        <w:numPr>
          <w:ilvl w:val="0"/>
          <w:numId w:val="5"/>
        </w:numPr>
        <w:tabs>
          <w:tab w:val="clear" w:pos="720"/>
        </w:tabs>
        <w:spacing w:line="280" w:lineRule="atLeast"/>
        <w:ind w:left="540" w:hanging="54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E41D7">
        <w:rPr>
          <w:rFonts w:ascii="Calibri" w:hAnsi="Calibri" w:cs="Calibri"/>
          <w:sz w:val="20"/>
          <w:szCs w:val="20"/>
        </w:rPr>
        <w:t>Faktur</w:t>
      </w:r>
      <w:r w:rsidR="002825CA" w:rsidRPr="00CE41D7">
        <w:rPr>
          <w:rFonts w:ascii="Calibri" w:hAnsi="Calibri" w:cs="Calibri"/>
          <w:sz w:val="20"/>
          <w:szCs w:val="20"/>
        </w:rPr>
        <w:t>y</w:t>
      </w:r>
      <w:r w:rsidRPr="00CE41D7">
        <w:rPr>
          <w:rFonts w:ascii="Calibri" w:hAnsi="Calibri" w:cs="Calibri"/>
          <w:sz w:val="20"/>
          <w:szCs w:val="20"/>
        </w:rPr>
        <w:t xml:space="preserve"> musí splňovat náležitosti daňového</w:t>
      </w:r>
      <w:r w:rsidRPr="002825CA">
        <w:rPr>
          <w:rFonts w:ascii="Calibri" w:hAnsi="Calibri" w:cs="Calibri"/>
          <w:sz w:val="20"/>
          <w:szCs w:val="20"/>
        </w:rPr>
        <w:t xml:space="preserve"> dokladu podle § 2</w:t>
      </w:r>
      <w:r w:rsidR="00E35AEE" w:rsidRPr="002825CA">
        <w:rPr>
          <w:rFonts w:ascii="Calibri" w:hAnsi="Calibri" w:cs="Calibri"/>
          <w:sz w:val="20"/>
          <w:szCs w:val="20"/>
        </w:rPr>
        <w:t xml:space="preserve">8 zákona č. 235/2004 Sb., o DPH, </w:t>
      </w:r>
      <w:r w:rsidR="005C1281">
        <w:rPr>
          <w:rFonts w:ascii="Calibri" w:hAnsi="Calibri" w:cs="Calibri"/>
          <w:sz w:val="20"/>
          <w:szCs w:val="20"/>
        </w:rPr>
        <w:t xml:space="preserve">bude </w:t>
      </w:r>
      <w:r w:rsidR="00871F5A">
        <w:rPr>
          <w:rFonts w:ascii="Calibri" w:hAnsi="Calibri" w:cs="Calibri"/>
          <w:sz w:val="20"/>
          <w:szCs w:val="20"/>
        </w:rPr>
        <w:t xml:space="preserve">obsahovat cenový rozpad dle jednotlivých položek dle přílohy č. 1 této smlouvy a </w:t>
      </w:r>
      <w:r w:rsidRPr="002825CA">
        <w:rPr>
          <w:rFonts w:ascii="Calibri" w:hAnsi="Calibri" w:cs="Calibri"/>
          <w:sz w:val="20"/>
          <w:szCs w:val="20"/>
        </w:rPr>
        <w:t>bud</w:t>
      </w:r>
      <w:r w:rsidR="00F25984" w:rsidRPr="002825CA">
        <w:rPr>
          <w:rFonts w:ascii="Calibri" w:hAnsi="Calibri" w:cs="Calibri"/>
          <w:sz w:val="20"/>
          <w:szCs w:val="20"/>
        </w:rPr>
        <w:t>e</w:t>
      </w:r>
      <w:r w:rsidRPr="002825CA">
        <w:rPr>
          <w:rFonts w:ascii="Calibri" w:hAnsi="Calibri" w:cs="Calibri"/>
          <w:sz w:val="20"/>
          <w:szCs w:val="20"/>
        </w:rPr>
        <w:t xml:space="preserve"> obsahovat </w:t>
      </w:r>
      <w:r w:rsidR="0029160A" w:rsidRPr="002825CA">
        <w:rPr>
          <w:rFonts w:ascii="Calibri" w:hAnsi="Calibri" w:cs="Calibri"/>
          <w:sz w:val="20"/>
          <w:szCs w:val="20"/>
        </w:rPr>
        <w:t xml:space="preserve">číslo a název dotačního projektu (konkrétně bude uveden text ve znění: </w:t>
      </w:r>
      <w:r w:rsidR="000A2C47" w:rsidRPr="002825CA">
        <w:rPr>
          <w:rFonts w:ascii="Calibri" w:hAnsi="Calibri" w:cs="Calibri"/>
          <w:i/>
          <w:iCs/>
          <w:sz w:val="20"/>
          <w:szCs w:val="20"/>
        </w:rPr>
        <w:t xml:space="preserve">Projekt </w:t>
      </w:r>
      <w:r w:rsidR="00956BE6" w:rsidRPr="00956BE6">
        <w:rPr>
          <w:rFonts w:ascii="Calibri" w:hAnsi="Calibri" w:cs="Calibri"/>
          <w:b/>
          <w:bCs/>
          <w:i/>
          <w:iCs/>
          <w:sz w:val="20"/>
          <w:szCs w:val="20"/>
        </w:rPr>
        <w:t xml:space="preserve">"Zajištění kybernetické </w:t>
      </w:r>
      <w:r w:rsidR="00956BE6" w:rsidRPr="00956BE6">
        <w:rPr>
          <w:rFonts w:ascii="Calibri" w:hAnsi="Calibri" w:cs="Calibri"/>
          <w:b/>
          <w:bCs/>
          <w:i/>
          <w:iCs/>
          <w:sz w:val="20"/>
          <w:szCs w:val="20"/>
        </w:rPr>
        <w:lastRenderedPageBreak/>
        <w:t xml:space="preserve">bezpečnosti informačních systémů CDV", </w:t>
      </w:r>
      <w:proofErr w:type="spellStart"/>
      <w:r w:rsidR="00956BE6" w:rsidRPr="00956BE6">
        <w:rPr>
          <w:rFonts w:ascii="Calibri" w:hAnsi="Calibri" w:cs="Calibri"/>
          <w:b/>
          <w:bCs/>
          <w:i/>
          <w:iCs/>
          <w:sz w:val="20"/>
          <w:szCs w:val="20"/>
        </w:rPr>
        <w:t>reg</w:t>
      </w:r>
      <w:proofErr w:type="spellEnd"/>
      <w:r w:rsidR="00956BE6" w:rsidRPr="00956BE6">
        <w:rPr>
          <w:rFonts w:ascii="Calibri" w:hAnsi="Calibri" w:cs="Calibri"/>
          <w:b/>
          <w:bCs/>
          <w:i/>
          <w:iCs/>
          <w:sz w:val="20"/>
          <w:szCs w:val="20"/>
        </w:rPr>
        <w:t>.</w:t>
      </w:r>
      <w:r w:rsidR="00956BE6" w:rsidRPr="00956BE6">
        <w:rPr>
          <w:rFonts w:ascii="Calibri" w:hAnsi="Calibri" w:cs="Calibri"/>
          <w:b/>
          <w:i/>
          <w:iCs/>
          <w:sz w:val="20"/>
          <w:szCs w:val="20"/>
        </w:rPr>
        <w:t> </w:t>
      </w:r>
      <w:r w:rsidR="00956BE6" w:rsidRPr="00956BE6">
        <w:rPr>
          <w:rFonts w:ascii="Calibri" w:hAnsi="Calibri" w:cs="Calibri"/>
          <w:b/>
          <w:bCs/>
          <w:i/>
          <w:iCs/>
          <w:sz w:val="20"/>
          <w:szCs w:val="20"/>
        </w:rPr>
        <w:t>č.</w:t>
      </w:r>
      <w:r w:rsidR="004028A4" w:rsidRPr="004028A4">
        <w:rPr>
          <w:rFonts w:ascii="Roboto Condensed" w:hAnsi="Roboto Condensed"/>
          <w:color w:val="000000"/>
          <w:sz w:val="22"/>
          <w:szCs w:val="22"/>
          <w:shd w:val="clear" w:color="auto" w:fill="FFFFFF"/>
        </w:rPr>
        <w:t xml:space="preserve"> </w:t>
      </w:r>
      <w:r w:rsidR="004028A4" w:rsidRPr="004028A4">
        <w:rPr>
          <w:rFonts w:ascii="Calibri" w:hAnsi="Calibri" w:cs="Calibri"/>
          <w:b/>
          <w:bCs/>
          <w:i/>
          <w:iCs/>
          <w:sz w:val="20"/>
          <w:szCs w:val="20"/>
        </w:rPr>
        <w:t>CZ.31.2.0/0.0/0.0/23_096/0011597</w:t>
      </w:r>
      <w:r w:rsidR="000A2C47" w:rsidRPr="004028A4">
        <w:rPr>
          <w:rFonts w:ascii="Calibri" w:hAnsi="Calibri" w:cs="Calibri"/>
          <w:i/>
          <w:iCs/>
          <w:sz w:val="20"/>
          <w:szCs w:val="20"/>
        </w:rPr>
        <w:t>,</w:t>
      </w:r>
      <w:r w:rsidR="000A2C47" w:rsidRPr="002825CA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A067D4" w:rsidRPr="002825CA">
        <w:rPr>
          <w:rFonts w:ascii="Calibri" w:hAnsi="Calibri" w:cs="Calibri"/>
          <w:i/>
          <w:iCs/>
          <w:sz w:val="20"/>
          <w:szCs w:val="20"/>
        </w:rPr>
        <w:t>je</w:t>
      </w:r>
      <w:r w:rsidR="00A067D4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A067D4" w:rsidRPr="002825CA">
        <w:rPr>
          <w:rFonts w:ascii="Calibri" w:hAnsi="Calibri" w:cs="Calibri"/>
          <w:i/>
          <w:iCs/>
          <w:sz w:val="20"/>
          <w:szCs w:val="20"/>
        </w:rPr>
        <w:t>spolufinancován z</w:t>
      </w:r>
      <w:r w:rsidR="00A067D4">
        <w:rPr>
          <w:rFonts w:ascii="Calibri" w:hAnsi="Calibri" w:cs="Calibri"/>
          <w:i/>
          <w:iCs/>
          <w:sz w:val="20"/>
          <w:szCs w:val="20"/>
        </w:rPr>
        <w:t> Národního plánu obnovy</w:t>
      </w:r>
      <w:r w:rsidR="0029160A" w:rsidRPr="002825CA">
        <w:rPr>
          <w:rFonts w:ascii="Calibri" w:hAnsi="Calibri" w:cs="Calibri"/>
          <w:sz w:val="20"/>
          <w:szCs w:val="20"/>
        </w:rPr>
        <w:t>)</w:t>
      </w:r>
      <w:r w:rsidR="00A7011B" w:rsidRPr="002825CA">
        <w:rPr>
          <w:rFonts w:ascii="Calibri" w:hAnsi="Calibri" w:cs="Calibri"/>
          <w:sz w:val="20"/>
          <w:szCs w:val="20"/>
        </w:rPr>
        <w:t xml:space="preserve"> </w:t>
      </w:r>
      <w:r w:rsidRPr="002825CA">
        <w:rPr>
          <w:rFonts w:ascii="Calibri" w:hAnsi="Calibri" w:cs="Calibri"/>
          <w:sz w:val="20"/>
          <w:szCs w:val="20"/>
        </w:rPr>
        <w:t>a bud</w:t>
      </w:r>
      <w:r w:rsidR="00F25984" w:rsidRPr="002825CA">
        <w:rPr>
          <w:rFonts w:ascii="Calibri" w:hAnsi="Calibri" w:cs="Calibri"/>
          <w:sz w:val="20"/>
          <w:szCs w:val="20"/>
        </w:rPr>
        <w:t>e zaslána</w:t>
      </w:r>
      <w:r w:rsidRPr="002825CA">
        <w:rPr>
          <w:rFonts w:ascii="Calibri" w:hAnsi="Calibri" w:cs="Calibri"/>
          <w:sz w:val="20"/>
          <w:szCs w:val="20"/>
        </w:rPr>
        <w:t xml:space="preserve"> </w:t>
      </w:r>
      <w:r w:rsidR="00770EEA" w:rsidRPr="002825CA">
        <w:rPr>
          <w:rFonts w:ascii="Calibri" w:hAnsi="Calibri" w:cs="Calibri"/>
          <w:sz w:val="20"/>
          <w:szCs w:val="20"/>
        </w:rPr>
        <w:t>prodávajícím</w:t>
      </w:r>
      <w:r w:rsidRPr="002825CA">
        <w:rPr>
          <w:rFonts w:ascii="Calibri" w:hAnsi="Calibri" w:cs="Calibri"/>
          <w:sz w:val="20"/>
          <w:szCs w:val="20"/>
        </w:rPr>
        <w:t xml:space="preserve"> na adresu </w:t>
      </w:r>
      <w:r w:rsidR="00770EEA" w:rsidRPr="002825CA">
        <w:rPr>
          <w:rFonts w:ascii="Calibri" w:hAnsi="Calibri" w:cs="Calibri"/>
          <w:sz w:val="20"/>
          <w:szCs w:val="20"/>
        </w:rPr>
        <w:t>kupujícího</w:t>
      </w:r>
      <w:r w:rsidRPr="002825CA">
        <w:rPr>
          <w:rFonts w:ascii="Calibri" w:hAnsi="Calibri" w:cs="Calibri"/>
          <w:sz w:val="20"/>
          <w:szCs w:val="20"/>
        </w:rPr>
        <w:t xml:space="preserve">. </w:t>
      </w:r>
      <w:r w:rsidR="00A36F82" w:rsidRPr="002825CA">
        <w:rPr>
          <w:rFonts w:ascii="Calibri" w:hAnsi="Calibri" w:cs="Calibri"/>
          <w:b/>
          <w:sz w:val="20"/>
          <w:szCs w:val="20"/>
        </w:rPr>
        <w:t>Splatnost faktur</w:t>
      </w:r>
      <w:r w:rsidR="00B80F7F" w:rsidRPr="002825CA">
        <w:rPr>
          <w:rFonts w:ascii="Calibri" w:hAnsi="Calibri" w:cs="Calibri"/>
          <w:b/>
          <w:sz w:val="20"/>
          <w:szCs w:val="20"/>
        </w:rPr>
        <w:t>y</w:t>
      </w:r>
      <w:r w:rsidR="00A36F82" w:rsidRPr="002825CA">
        <w:rPr>
          <w:rFonts w:ascii="Calibri" w:hAnsi="Calibri" w:cs="Calibri"/>
          <w:b/>
          <w:sz w:val="20"/>
          <w:szCs w:val="20"/>
        </w:rPr>
        <w:t xml:space="preserve"> činí</w:t>
      </w:r>
      <w:r w:rsidR="005C58E5" w:rsidRPr="002825CA">
        <w:rPr>
          <w:rFonts w:ascii="Calibri" w:hAnsi="Calibri" w:cs="Calibri"/>
          <w:b/>
          <w:sz w:val="20"/>
          <w:szCs w:val="20"/>
        </w:rPr>
        <w:t xml:space="preserve"> </w:t>
      </w:r>
      <w:r w:rsidR="000A2C47" w:rsidRPr="002825CA">
        <w:rPr>
          <w:rFonts w:ascii="Calibri" w:hAnsi="Calibri" w:cs="Calibri"/>
          <w:b/>
          <w:sz w:val="20"/>
          <w:szCs w:val="20"/>
        </w:rPr>
        <w:t>30</w:t>
      </w:r>
      <w:r w:rsidR="00A36F82" w:rsidRPr="002825CA">
        <w:rPr>
          <w:rFonts w:ascii="Calibri" w:hAnsi="Calibri" w:cs="Calibri"/>
          <w:b/>
          <w:sz w:val="20"/>
          <w:szCs w:val="20"/>
        </w:rPr>
        <w:t xml:space="preserve"> kalendářních dní.</w:t>
      </w:r>
    </w:p>
    <w:p w14:paraId="033554D4" w14:textId="77777777" w:rsidR="00104657" w:rsidRPr="00DC659D" w:rsidRDefault="00104657" w:rsidP="00E268FE">
      <w:pPr>
        <w:numPr>
          <w:ilvl w:val="0"/>
          <w:numId w:val="5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Kupující bude oprávněn před uplynutím lhůty splatnosti vrátit prodávajícímu bez zaplacení fakturu, která nebude obsahovat některou náležitost uvedenou v této smlouvě, případně bude mít jiné závady v obsahu nebo bude uvedeno bankovní spojení a číslo účtu prodávajícího v rozporu s touto smlouvou anebo tyto náležitosti budou uvedeny chybně. U vrácené faktury musí kupující vyznačit důvod vrácení. Prodávající je povinen podle povahy nesprávnosti fakturu opravit nebo nově vyhotovit. Kupujícímu vrácením faktury přestává běžet původní lhůta splatnosti. Celá lhůta splatnosti</w:t>
      </w:r>
      <w:r w:rsidR="000F01AE"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>běží znovu ode dne doručení opravené nebo nově vyhotovené faktury kupujícímu.</w:t>
      </w:r>
    </w:p>
    <w:p w14:paraId="30040DE0" w14:textId="77777777" w:rsidR="002219EF" w:rsidRPr="00DC659D" w:rsidRDefault="00104657" w:rsidP="00E268FE">
      <w:pPr>
        <w:numPr>
          <w:ilvl w:val="0"/>
          <w:numId w:val="5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Platby budou zásadně probíhat bezhotovostní formou na bankovní účet prodávajícího uvedený ve smlouvě. Změnu bankovního spojení a čísla účtu prodávajícího bude možno provést pouze písemným dodatkem k této smlouvě nebo písemným sdělením prokazatelně doručeným kupujícímu, nejpozději spolu s příslušnou fakturou. </w:t>
      </w:r>
    </w:p>
    <w:p w14:paraId="26952172" w14:textId="77777777" w:rsidR="00104657" w:rsidRPr="00DC659D" w:rsidRDefault="00104657" w:rsidP="00E268FE">
      <w:pPr>
        <w:numPr>
          <w:ilvl w:val="0"/>
          <w:numId w:val="5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Faktura se považuje za včas uhrazenou, pokud je fakturovaná částka odepsána z účtu kupujícího</w:t>
      </w:r>
      <w:r w:rsidR="001B3BC3">
        <w:rPr>
          <w:rFonts w:ascii="Calibri" w:hAnsi="Calibri" w:cs="Calibri"/>
          <w:sz w:val="20"/>
          <w:szCs w:val="20"/>
        </w:rPr>
        <w:t>.</w:t>
      </w:r>
    </w:p>
    <w:p w14:paraId="4230DF71" w14:textId="77777777" w:rsidR="00104657" w:rsidRPr="00DC659D" w:rsidRDefault="00104657" w:rsidP="00F676A4">
      <w:pPr>
        <w:spacing w:after="240" w:line="280" w:lineRule="atLeast"/>
        <w:jc w:val="both"/>
        <w:rPr>
          <w:rFonts w:ascii="Calibri" w:hAnsi="Calibri" w:cs="Calibri"/>
          <w:sz w:val="20"/>
          <w:szCs w:val="20"/>
        </w:rPr>
      </w:pPr>
    </w:p>
    <w:p w14:paraId="67F8C166" w14:textId="77777777" w:rsidR="00104657" w:rsidRPr="00DC659D" w:rsidRDefault="00104657" w:rsidP="00BC686A">
      <w:pPr>
        <w:pStyle w:val="Nadpis3"/>
        <w:spacing w:line="280" w:lineRule="atLeast"/>
        <w:jc w:val="center"/>
        <w:rPr>
          <w:rFonts w:ascii="Calibri" w:hAnsi="Calibri" w:cs="Calibri"/>
          <w:color w:val="auto"/>
          <w:sz w:val="20"/>
        </w:rPr>
      </w:pPr>
      <w:r w:rsidRPr="00DC659D">
        <w:rPr>
          <w:rFonts w:ascii="Calibri" w:hAnsi="Calibri" w:cs="Calibri"/>
          <w:color w:val="auto"/>
          <w:sz w:val="20"/>
        </w:rPr>
        <w:t>5. Místo a doba plnění a dodací podmínky</w:t>
      </w:r>
    </w:p>
    <w:p w14:paraId="4D204D9B" w14:textId="4DDE32D3" w:rsidR="008D6E8E" w:rsidRPr="00C46A93" w:rsidRDefault="00104657" w:rsidP="005024BD">
      <w:pPr>
        <w:numPr>
          <w:ilvl w:val="0"/>
          <w:numId w:val="26"/>
        </w:numPr>
        <w:tabs>
          <w:tab w:val="clear" w:pos="720"/>
          <w:tab w:val="num" w:pos="567"/>
        </w:tabs>
        <w:spacing w:line="280" w:lineRule="atLeast"/>
        <w:ind w:left="567" w:hanging="567"/>
        <w:jc w:val="both"/>
        <w:rPr>
          <w:rFonts w:ascii="Calibri" w:hAnsi="Calibri" w:cs="Calibri"/>
          <w:b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Místem </w:t>
      </w:r>
      <w:r w:rsidRPr="00885CCC">
        <w:rPr>
          <w:rFonts w:ascii="Calibri" w:hAnsi="Calibri" w:cs="Calibri"/>
          <w:sz w:val="20"/>
          <w:szCs w:val="20"/>
        </w:rPr>
        <w:t xml:space="preserve">plnění </w:t>
      </w:r>
      <w:r w:rsidR="007B5463">
        <w:rPr>
          <w:rFonts w:ascii="Calibri" w:hAnsi="Calibri" w:cs="Calibri"/>
          <w:sz w:val="20"/>
          <w:szCs w:val="20"/>
        </w:rPr>
        <w:t>j</w:t>
      </w:r>
      <w:r w:rsidR="00510FDC">
        <w:rPr>
          <w:rFonts w:ascii="Calibri" w:hAnsi="Calibri" w:cs="Calibri"/>
          <w:sz w:val="20"/>
          <w:szCs w:val="20"/>
        </w:rPr>
        <w:t>sou</w:t>
      </w:r>
      <w:r w:rsidR="007B5463">
        <w:rPr>
          <w:rFonts w:ascii="Calibri" w:hAnsi="Calibri" w:cs="Calibri"/>
          <w:sz w:val="20"/>
          <w:szCs w:val="20"/>
        </w:rPr>
        <w:t xml:space="preserve"> </w:t>
      </w:r>
      <w:r w:rsidR="00510FDC">
        <w:rPr>
          <w:rFonts w:ascii="Calibri" w:hAnsi="Calibri" w:cs="Calibri"/>
          <w:sz w:val="20"/>
          <w:szCs w:val="20"/>
        </w:rPr>
        <w:t>provozovny</w:t>
      </w:r>
      <w:r w:rsidR="007B5463">
        <w:rPr>
          <w:rFonts w:ascii="Calibri" w:hAnsi="Calibri" w:cs="Calibri"/>
          <w:sz w:val="20"/>
          <w:szCs w:val="20"/>
        </w:rPr>
        <w:t xml:space="preserve"> zadavatele.</w:t>
      </w:r>
      <w:r w:rsidR="00510FDC">
        <w:rPr>
          <w:rFonts w:ascii="Calibri" w:hAnsi="Calibri" w:cs="Calibri"/>
          <w:sz w:val="20"/>
          <w:szCs w:val="20"/>
        </w:rPr>
        <w:t xml:space="preserve"> Konkrétní lokalita pro jednotlivá plnění bude určena po podpisu smlouvy.</w:t>
      </w:r>
      <w:r w:rsidR="00967C20" w:rsidRPr="00C46A93">
        <w:rPr>
          <w:rFonts w:ascii="Calibri" w:hAnsi="Calibri" w:cs="Calibri"/>
          <w:sz w:val="20"/>
          <w:szCs w:val="20"/>
        </w:rPr>
        <w:t xml:space="preserve"> </w:t>
      </w:r>
    </w:p>
    <w:p w14:paraId="63DCFBAC" w14:textId="77777777" w:rsidR="00B320FA" w:rsidRDefault="00104657" w:rsidP="005024BD">
      <w:pPr>
        <w:numPr>
          <w:ilvl w:val="0"/>
          <w:numId w:val="26"/>
        </w:numPr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5C58E5">
        <w:rPr>
          <w:rFonts w:ascii="Calibri" w:hAnsi="Calibri" w:cs="Calibri"/>
          <w:sz w:val="20"/>
          <w:szCs w:val="20"/>
        </w:rPr>
        <w:t>Prodávající je povinen</w:t>
      </w:r>
      <w:r w:rsidR="00B320FA">
        <w:rPr>
          <w:rFonts w:ascii="Calibri" w:hAnsi="Calibri" w:cs="Calibri"/>
          <w:sz w:val="20"/>
          <w:szCs w:val="20"/>
        </w:rPr>
        <w:t xml:space="preserve"> splnit předmět plnění dle následujícího harmonogramu:</w:t>
      </w:r>
      <w:r w:rsidRPr="005C58E5">
        <w:rPr>
          <w:rFonts w:ascii="Calibri" w:hAnsi="Calibri" w:cs="Calibri"/>
          <w:sz w:val="20"/>
          <w:szCs w:val="20"/>
        </w:rPr>
        <w:t xml:space="preserve"> </w:t>
      </w:r>
    </w:p>
    <w:p w14:paraId="6B4E0E32" w14:textId="5F8DF42B" w:rsidR="004F0D8C" w:rsidRDefault="00104657" w:rsidP="005024BD">
      <w:pPr>
        <w:numPr>
          <w:ilvl w:val="1"/>
          <w:numId w:val="26"/>
        </w:numPr>
        <w:spacing w:line="280" w:lineRule="atLeast"/>
        <w:jc w:val="both"/>
        <w:rPr>
          <w:rFonts w:ascii="Calibri" w:hAnsi="Calibri" w:cs="Calibri"/>
          <w:sz w:val="20"/>
          <w:szCs w:val="20"/>
        </w:rPr>
      </w:pPr>
      <w:r w:rsidRPr="005C58E5">
        <w:rPr>
          <w:rFonts w:ascii="Calibri" w:hAnsi="Calibri" w:cs="Calibri"/>
          <w:sz w:val="20"/>
          <w:szCs w:val="20"/>
        </w:rPr>
        <w:t xml:space="preserve">dodat </w:t>
      </w:r>
      <w:r w:rsidR="00216416">
        <w:rPr>
          <w:rFonts w:ascii="Calibri" w:hAnsi="Calibri" w:cs="Calibri"/>
          <w:sz w:val="20"/>
          <w:szCs w:val="20"/>
        </w:rPr>
        <w:t xml:space="preserve">veškeré </w:t>
      </w:r>
      <w:r w:rsidRPr="00C01C59">
        <w:rPr>
          <w:rFonts w:ascii="Calibri" w:hAnsi="Calibri" w:cs="Calibri"/>
          <w:sz w:val="20"/>
          <w:szCs w:val="20"/>
        </w:rPr>
        <w:t xml:space="preserve">zboží </w:t>
      </w:r>
      <w:r w:rsidR="005C58E5" w:rsidRPr="00C01C59">
        <w:rPr>
          <w:rFonts w:ascii="Calibri" w:hAnsi="Calibri" w:cs="Calibri"/>
          <w:b/>
          <w:bCs/>
          <w:sz w:val="20"/>
          <w:szCs w:val="20"/>
        </w:rPr>
        <w:t xml:space="preserve">nejpozději </w:t>
      </w:r>
      <w:r w:rsidR="005C58E5" w:rsidRPr="00EE5816">
        <w:rPr>
          <w:rFonts w:ascii="Calibri" w:hAnsi="Calibri" w:cs="Calibri"/>
          <w:b/>
          <w:bCs/>
          <w:sz w:val="20"/>
          <w:szCs w:val="20"/>
        </w:rPr>
        <w:t xml:space="preserve">do </w:t>
      </w:r>
      <w:r w:rsidR="00313AFA">
        <w:rPr>
          <w:rFonts w:ascii="Calibri" w:hAnsi="Calibri" w:cs="Calibri"/>
          <w:b/>
          <w:bCs/>
          <w:sz w:val="20"/>
          <w:szCs w:val="20"/>
        </w:rPr>
        <w:t>75</w:t>
      </w:r>
      <w:r w:rsidR="0045113B" w:rsidRPr="00EE5816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14725" w:rsidRPr="00EE5816">
        <w:rPr>
          <w:rFonts w:ascii="Calibri" w:hAnsi="Calibri" w:cs="Calibri"/>
          <w:b/>
          <w:bCs/>
          <w:sz w:val="20"/>
          <w:szCs w:val="20"/>
        </w:rPr>
        <w:t xml:space="preserve">dní </w:t>
      </w:r>
      <w:r w:rsidR="005C58E5" w:rsidRPr="00EE5816">
        <w:rPr>
          <w:rFonts w:ascii="Calibri" w:hAnsi="Calibri" w:cs="Calibri"/>
          <w:b/>
          <w:bCs/>
          <w:sz w:val="20"/>
          <w:szCs w:val="20"/>
        </w:rPr>
        <w:t xml:space="preserve">od </w:t>
      </w:r>
      <w:r w:rsidR="004F0D8C" w:rsidRPr="00EE5816">
        <w:rPr>
          <w:rFonts w:ascii="Calibri" w:hAnsi="Calibri" w:cs="Calibri"/>
          <w:b/>
          <w:bCs/>
          <w:sz w:val="20"/>
          <w:szCs w:val="20"/>
        </w:rPr>
        <w:t>účinnosti</w:t>
      </w:r>
      <w:r w:rsidR="004F0D8C" w:rsidRPr="0004445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C58E5" w:rsidRPr="00044454">
        <w:rPr>
          <w:rFonts w:ascii="Calibri" w:hAnsi="Calibri" w:cs="Calibri"/>
          <w:b/>
          <w:bCs/>
          <w:sz w:val="20"/>
          <w:szCs w:val="20"/>
        </w:rPr>
        <w:t>této smlouvy</w:t>
      </w:r>
      <w:r w:rsidR="005C58E5" w:rsidRPr="005C58E5">
        <w:rPr>
          <w:rFonts w:ascii="Calibri" w:hAnsi="Calibri" w:cs="Calibri"/>
          <w:sz w:val="20"/>
          <w:szCs w:val="20"/>
        </w:rPr>
        <w:t>.</w:t>
      </w:r>
      <w:r w:rsidR="004F0D8C">
        <w:rPr>
          <w:rFonts w:ascii="Calibri" w:hAnsi="Calibri" w:cs="Calibri"/>
          <w:sz w:val="20"/>
          <w:szCs w:val="20"/>
        </w:rPr>
        <w:t xml:space="preserve"> </w:t>
      </w:r>
      <w:r w:rsidR="00216416">
        <w:rPr>
          <w:rFonts w:ascii="Calibri" w:hAnsi="Calibri" w:cs="Calibri"/>
          <w:sz w:val="20"/>
          <w:szCs w:val="20"/>
        </w:rPr>
        <w:t>Kupující umožňuje postupné dodání zboží po částech.</w:t>
      </w:r>
    </w:p>
    <w:p w14:paraId="4867A165" w14:textId="43883124" w:rsidR="00B320FA" w:rsidRPr="000F69D3" w:rsidRDefault="00B320FA" w:rsidP="005024BD">
      <w:pPr>
        <w:numPr>
          <w:ilvl w:val="1"/>
          <w:numId w:val="26"/>
        </w:numPr>
        <w:spacing w:line="280" w:lineRule="atLeast"/>
        <w:jc w:val="both"/>
        <w:rPr>
          <w:rFonts w:ascii="Calibri" w:hAnsi="Calibri" w:cs="Calibr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>implementační práce, akceptační testy, odstranění závad</w:t>
      </w:r>
      <w:r>
        <w:rPr>
          <w:rFonts w:asciiTheme="minorHAnsi" w:hAnsiTheme="minorHAnsi" w:cstheme="minorHAnsi"/>
          <w:sz w:val="20"/>
          <w:szCs w:val="20"/>
        </w:rPr>
        <w:t xml:space="preserve"> a následné předání </w:t>
      </w:r>
      <w:r w:rsidRPr="00C01C59">
        <w:rPr>
          <w:rFonts w:ascii="Calibri" w:hAnsi="Calibri" w:cs="Calibri"/>
          <w:b/>
          <w:bCs/>
          <w:sz w:val="20"/>
          <w:szCs w:val="20"/>
        </w:rPr>
        <w:t xml:space="preserve">nejpozději </w:t>
      </w:r>
      <w:r w:rsidRPr="00EE5816">
        <w:rPr>
          <w:rFonts w:ascii="Calibri" w:hAnsi="Calibri" w:cs="Calibri"/>
          <w:b/>
          <w:bCs/>
          <w:sz w:val="20"/>
          <w:szCs w:val="20"/>
        </w:rPr>
        <w:t xml:space="preserve">do </w:t>
      </w:r>
      <w:r>
        <w:rPr>
          <w:rFonts w:ascii="Calibri" w:hAnsi="Calibri" w:cs="Calibri"/>
          <w:b/>
          <w:bCs/>
          <w:sz w:val="20"/>
          <w:szCs w:val="20"/>
        </w:rPr>
        <w:t>120</w:t>
      </w:r>
      <w:r w:rsidRPr="00EE5816">
        <w:rPr>
          <w:rFonts w:ascii="Calibri" w:hAnsi="Calibri" w:cs="Calibri"/>
          <w:b/>
          <w:bCs/>
          <w:sz w:val="20"/>
          <w:szCs w:val="20"/>
        </w:rPr>
        <w:t xml:space="preserve"> dní od účinnosti</w:t>
      </w:r>
      <w:r w:rsidRPr="00044454">
        <w:rPr>
          <w:rFonts w:ascii="Calibri" w:hAnsi="Calibri" w:cs="Calibri"/>
          <w:b/>
          <w:bCs/>
          <w:sz w:val="20"/>
          <w:szCs w:val="20"/>
        </w:rPr>
        <w:t xml:space="preserve"> této smlouvy</w:t>
      </w:r>
    </w:p>
    <w:p w14:paraId="45FDCD7C" w14:textId="2E9D046B" w:rsidR="00104657" w:rsidRPr="00DC659D" w:rsidRDefault="00104657" w:rsidP="005024BD">
      <w:pPr>
        <w:numPr>
          <w:ilvl w:val="0"/>
          <w:numId w:val="26"/>
        </w:numPr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Po </w:t>
      </w:r>
      <w:r w:rsidR="00B320FA">
        <w:rPr>
          <w:rFonts w:ascii="Calibri" w:hAnsi="Calibri" w:cs="Calibri"/>
          <w:sz w:val="20"/>
          <w:szCs w:val="20"/>
        </w:rPr>
        <w:t>dodání každé části</w:t>
      </w:r>
      <w:r w:rsidRPr="00DC659D">
        <w:rPr>
          <w:rFonts w:ascii="Calibri" w:hAnsi="Calibri" w:cs="Calibri"/>
          <w:sz w:val="20"/>
          <w:szCs w:val="20"/>
        </w:rPr>
        <w:t xml:space="preserve"> zboží</w:t>
      </w:r>
      <w:r w:rsidR="00A16081"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 xml:space="preserve">bude vyhotoven </w:t>
      </w:r>
      <w:r w:rsidRPr="00DC659D">
        <w:rPr>
          <w:rFonts w:ascii="Calibri" w:hAnsi="Calibri" w:cs="Calibri"/>
          <w:b/>
          <w:sz w:val="20"/>
          <w:szCs w:val="20"/>
        </w:rPr>
        <w:t xml:space="preserve">zápis o </w:t>
      </w:r>
      <w:r w:rsidR="00B320FA">
        <w:rPr>
          <w:rFonts w:ascii="Calibri" w:hAnsi="Calibri" w:cs="Calibri"/>
          <w:b/>
          <w:sz w:val="20"/>
          <w:szCs w:val="20"/>
        </w:rPr>
        <w:t>dodání</w:t>
      </w:r>
      <w:r w:rsidRPr="00DC659D">
        <w:rPr>
          <w:rFonts w:ascii="Calibri" w:hAnsi="Calibri" w:cs="Calibri"/>
          <w:b/>
          <w:sz w:val="20"/>
          <w:szCs w:val="20"/>
        </w:rPr>
        <w:t xml:space="preserve"> a převzetí zboží</w:t>
      </w:r>
      <w:r w:rsidRPr="00DC659D">
        <w:rPr>
          <w:rFonts w:ascii="Calibri" w:hAnsi="Calibri" w:cs="Calibri"/>
          <w:sz w:val="20"/>
          <w:szCs w:val="20"/>
        </w:rPr>
        <w:t>, který bude obsahovat níže uvedené náležitosti</w:t>
      </w:r>
      <w:r w:rsidR="00B320FA">
        <w:rPr>
          <w:rFonts w:ascii="Calibri" w:hAnsi="Calibri" w:cs="Calibri"/>
          <w:sz w:val="20"/>
          <w:szCs w:val="20"/>
        </w:rPr>
        <w:t>, a který bude podkladem pro vystavení daňového dokladu:</w:t>
      </w:r>
    </w:p>
    <w:p w14:paraId="34C0F513" w14:textId="77777777" w:rsidR="00104657" w:rsidRPr="00DC659D" w:rsidRDefault="00104657" w:rsidP="00E268FE">
      <w:pPr>
        <w:numPr>
          <w:ilvl w:val="1"/>
          <w:numId w:val="6"/>
        </w:numPr>
        <w:tabs>
          <w:tab w:val="clear" w:pos="720"/>
          <w:tab w:val="num" w:pos="993"/>
        </w:tabs>
        <w:spacing w:line="280" w:lineRule="atLeast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název a sídlo prodávajícího a kupujícího,</w:t>
      </w:r>
    </w:p>
    <w:p w14:paraId="6986AA60" w14:textId="77777777" w:rsidR="00104657" w:rsidRPr="00DC659D" w:rsidRDefault="00104657" w:rsidP="00E268FE">
      <w:pPr>
        <w:numPr>
          <w:ilvl w:val="1"/>
          <w:numId w:val="6"/>
        </w:numPr>
        <w:tabs>
          <w:tab w:val="clear" w:pos="720"/>
          <w:tab w:val="num" w:pos="993"/>
        </w:tabs>
        <w:spacing w:line="280" w:lineRule="atLeast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označení dodaného zboží včetně výrobního čísla,</w:t>
      </w:r>
    </w:p>
    <w:p w14:paraId="6E4301DC" w14:textId="77777777" w:rsidR="000F01AE" w:rsidRDefault="00104657" w:rsidP="00E268FE">
      <w:pPr>
        <w:numPr>
          <w:ilvl w:val="1"/>
          <w:numId w:val="6"/>
        </w:numPr>
        <w:tabs>
          <w:tab w:val="clear" w:pos="720"/>
          <w:tab w:val="num" w:pos="993"/>
        </w:tabs>
        <w:spacing w:line="280" w:lineRule="atLeast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datum dodání</w:t>
      </w:r>
      <w:r w:rsidR="000F01AE">
        <w:rPr>
          <w:rFonts w:ascii="Calibri" w:hAnsi="Calibri" w:cs="Calibri"/>
          <w:sz w:val="20"/>
          <w:szCs w:val="20"/>
        </w:rPr>
        <w:t>,</w:t>
      </w:r>
    </w:p>
    <w:p w14:paraId="1BAB3EB9" w14:textId="62428FBE" w:rsidR="00104657" w:rsidRPr="00DC659D" w:rsidRDefault="000F01AE" w:rsidP="00E268FE">
      <w:pPr>
        <w:numPr>
          <w:ilvl w:val="1"/>
          <w:numId w:val="6"/>
        </w:numPr>
        <w:tabs>
          <w:tab w:val="clear" w:pos="720"/>
          <w:tab w:val="num" w:pos="993"/>
        </w:tabs>
        <w:spacing w:line="280" w:lineRule="atLeast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0C0912">
        <w:rPr>
          <w:rFonts w:ascii="Calibri" w:hAnsi="Calibri" w:cs="Calibri"/>
          <w:sz w:val="20"/>
          <w:szCs w:val="20"/>
        </w:rPr>
        <w:t>číslo a název dotačního projektu (</w:t>
      </w:r>
      <w:r w:rsidR="00F7328F" w:rsidRPr="002825CA">
        <w:rPr>
          <w:rFonts w:ascii="Calibri" w:hAnsi="Calibri" w:cs="Calibri"/>
          <w:sz w:val="20"/>
          <w:szCs w:val="20"/>
        </w:rPr>
        <w:t xml:space="preserve">konkrétně bude uveden text ve znění: </w:t>
      </w:r>
      <w:r w:rsidR="00F7328F" w:rsidRPr="00E574B2">
        <w:rPr>
          <w:rFonts w:ascii="Calibri" w:hAnsi="Calibri" w:cs="Calibri"/>
          <w:sz w:val="20"/>
          <w:szCs w:val="20"/>
        </w:rPr>
        <w:t xml:space="preserve">Projekt </w:t>
      </w:r>
      <w:r w:rsidR="00956BE6" w:rsidRPr="00E574B2">
        <w:rPr>
          <w:rFonts w:ascii="Calibri" w:hAnsi="Calibri" w:cs="Calibri"/>
          <w:b/>
          <w:bCs/>
          <w:sz w:val="20"/>
          <w:szCs w:val="20"/>
        </w:rPr>
        <w:t>"Zajištění kybernetické bezpečnosti informačních systémů CDV"</w:t>
      </w:r>
      <w:r w:rsidR="00956BE6" w:rsidRPr="00E574B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956BE6" w:rsidRPr="00E574B2">
        <w:rPr>
          <w:rFonts w:ascii="Calibri" w:hAnsi="Calibri" w:cs="Calibri"/>
          <w:sz w:val="20"/>
          <w:szCs w:val="20"/>
        </w:rPr>
        <w:t>reg</w:t>
      </w:r>
      <w:proofErr w:type="spellEnd"/>
      <w:r w:rsidR="00956BE6" w:rsidRPr="00E574B2">
        <w:rPr>
          <w:rFonts w:ascii="Calibri" w:hAnsi="Calibri" w:cs="Calibri"/>
          <w:sz w:val="20"/>
          <w:szCs w:val="20"/>
        </w:rPr>
        <w:t>. č. </w:t>
      </w:r>
      <w:r w:rsidR="004028A4" w:rsidRPr="00E574B2">
        <w:rPr>
          <w:rFonts w:ascii="Calibri" w:hAnsi="Calibri" w:cs="Calibri"/>
          <w:b/>
          <w:bCs/>
          <w:sz w:val="20"/>
          <w:szCs w:val="20"/>
        </w:rPr>
        <w:t>CZ.31.2.0/0.0/0.0/23_096/0011597</w:t>
      </w:r>
      <w:r w:rsidR="004028A4" w:rsidRPr="00E574B2">
        <w:rPr>
          <w:rFonts w:ascii="Calibri" w:hAnsi="Calibri" w:cs="Calibri"/>
          <w:sz w:val="20"/>
          <w:szCs w:val="20"/>
        </w:rPr>
        <w:t xml:space="preserve"> </w:t>
      </w:r>
      <w:r w:rsidR="00F7328F" w:rsidRPr="00E574B2">
        <w:rPr>
          <w:rFonts w:ascii="Calibri" w:hAnsi="Calibri" w:cs="Calibri"/>
          <w:sz w:val="20"/>
          <w:szCs w:val="20"/>
        </w:rPr>
        <w:t>je spolufinancován z Národního plánu obnovy</w:t>
      </w:r>
      <w:r w:rsidRPr="000C0912">
        <w:rPr>
          <w:rFonts w:ascii="Calibri" w:hAnsi="Calibri" w:cs="Calibri"/>
          <w:sz w:val="20"/>
          <w:szCs w:val="20"/>
        </w:rPr>
        <w:t>)</w:t>
      </w:r>
      <w:r w:rsidR="00104657" w:rsidRPr="00DC659D">
        <w:rPr>
          <w:rFonts w:ascii="Calibri" w:hAnsi="Calibri" w:cs="Calibri"/>
          <w:sz w:val="20"/>
          <w:szCs w:val="20"/>
        </w:rPr>
        <w:t>.</w:t>
      </w:r>
    </w:p>
    <w:p w14:paraId="716FF50F" w14:textId="3A6C3058" w:rsidR="00E574B2" w:rsidRPr="00E574B2" w:rsidRDefault="00E574B2" w:rsidP="005024BD">
      <w:pPr>
        <w:numPr>
          <w:ilvl w:val="0"/>
          <w:numId w:val="26"/>
        </w:numPr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E574B2">
        <w:rPr>
          <w:rFonts w:ascii="Calibri" w:hAnsi="Calibri" w:cs="Calibri"/>
          <w:sz w:val="20"/>
          <w:szCs w:val="20"/>
        </w:rPr>
        <w:t>O provedené implementaci a jejím splnění bude sepsán zápis/akceptační protokol, který bude obsahovat popis případných nedostatků. Dodané technologie budou považovány za předané k užívání kupujícímu až v okamžiku, kdy budou řádně, bez závad a nedodělků fungovat v ostrém provozu.</w:t>
      </w:r>
    </w:p>
    <w:p w14:paraId="63D555B0" w14:textId="77777777" w:rsidR="00EC20A2" w:rsidRPr="00DC659D" w:rsidRDefault="00EC20A2" w:rsidP="00BC686A">
      <w:pPr>
        <w:spacing w:line="280" w:lineRule="atLeast"/>
        <w:ind w:left="540" w:hanging="540"/>
        <w:jc w:val="both"/>
        <w:rPr>
          <w:rFonts w:ascii="Calibri" w:hAnsi="Calibri" w:cs="Calibri"/>
          <w:b/>
          <w:sz w:val="20"/>
          <w:szCs w:val="20"/>
        </w:rPr>
      </w:pPr>
    </w:p>
    <w:p w14:paraId="0A45389A" w14:textId="77777777" w:rsidR="00104657" w:rsidRPr="00DC659D" w:rsidRDefault="00104657" w:rsidP="00BC686A">
      <w:pPr>
        <w:pStyle w:val="Nadpis3"/>
        <w:spacing w:line="280" w:lineRule="atLeast"/>
        <w:jc w:val="center"/>
        <w:rPr>
          <w:rFonts w:ascii="Calibri" w:hAnsi="Calibri" w:cs="Calibri"/>
          <w:color w:val="auto"/>
          <w:sz w:val="20"/>
        </w:rPr>
      </w:pPr>
      <w:r w:rsidRPr="00DC659D">
        <w:rPr>
          <w:rFonts w:ascii="Calibri" w:hAnsi="Calibri" w:cs="Calibri"/>
          <w:color w:val="auto"/>
          <w:sz w:val="20"/>
        </w:rPr>
        <w:t>6. Odpovědnost za vady, záruka za jakost</w:t>
      </w:r>
      <w:r w:rsidR="00623252" w:rsidRPr="00DC659D">
        <w:rPr>
          <w:rFonts w:ascii="Calibri" w:hAnsi="Calibri" w:cs="Calibri"/>
          <w:color w:val="auto"/>
          <w:sz w:val="20"/>
        </w:rPr>
        <w:t>, servis</w:t>
      </w:r>
    </w:p>
    <w:p w14:paraId="0A61691C" w14:textId="45D0F53A" w:rsidR="00510FDC" w:rsidRPr="00510FDC" w:rsidRDefault="0661CF3F" w:rsidP="00E268FE">
      <w:pPr>
        <w:numPr>
          <w:ilvl w:val="0"/>
          <w:numId w:val="8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78C23FE">
        <w:rPr>
          <w:rFonts w:ascii="Calibri" w:hAnsi="Calibri" w:cs="Calibri"/>
          <w:sz w:val="20"/>
          <w:szCs w:val="20"/>
        </w:rPr>
        <w:t xml:space="preserve">Prodávající nese odpovědnost za to, že zboží dodané a předané podle této smlouvy je ke dni dodání plně funkční a splňuje technické parametry uvedené </w:t>
      </w:r>
      <w:r w:rsidR="1A87C8A3" w:rsidRPr="078C23FE">
        <w:rPr>
          <w:rFonts w:ascii="Calibri" w:hAnsi="Calibri" w:cs="Calibri"/>
          <w:sz w:val="20"/>
          <w:szCs w:val="20"/>
        </w:rPr>
        <w:t xml:space="preserve">této </w:t>
      </w:r>
      <w:r w:rsidR="102F5AD0" w:rsidRPr="078C23FE">
        <w:rPr>
          <w:rFonts w:ascii="Calibri" w:hAnsi="Calibri" w:cs="Calibri"/>
          <w:sz w:val="20"/>
          <w:szCs w:val="20"/>
        </w:rPr>
        <w:t>s</w:t>
      </w:r>
      <w:r w:rsidR="1A87C8A3" w:rsidRPr="078C23FE">
        <w:rPr>
          <w:rFonts w:ascii="Calibri" w:hAnsi="Calibri" w:cs="Calibri"/>
          <w:sz w:val="20"/>
          <w:szCs w:val="20"/>
        </w:rPr>
        <w:t>mlouvě</w:t>
      </w:r>
      <w:r w:rsidRPr="078C23FE">
        <w:rPr>
          <w:rFonts w:ascii="Calibri" w:hAnsi="Calibri" w:cs="Calibri"/>
          <w:sz w:val="20"/>
          <w:szCs w:val="20"/>
        </w:rPr>
        <w:t>. Prodávající přejímá níže uvedenou záruku za jakost zboží dodaného podle této smlouvy. Záruční doba počíná běžet</w:t>
      </w:r>
      <w:r w:rsidR="4888B6A8" w:rsidRPr="078C23FE">
        <w:rPr>
          <w:rFonts w:ascii="Calibri" w:hAnsi="Calibri" w:cs="Calibri"/>
          <w:sz w:val="20"/>
          <w:szCs w:val="20"/>
        </w:rPr>
        <w:t xml:space="preserve"> dnem </w:t>
      </w:r>
      <w:r w:rsidR="228F5E9E" w:rsidRPr="078C23FE">
        <w:rPr>
          <w:rFonts w:ascii="Calibri" w:hAnsi="Calibri" w:cs="Calibri"/>
          <w:sz w:val="20"/>
          <w:szCs w:val="20"/>
        </w:rPr>
        <w:t>oboustranného podpisu zápisu o předání a převzetí zboží.</w:t>
      </w:r>
      <w:r w:rsidR="4820D937" w:rsidRPr="078C23FE">
        <w:rPr>
          <w:rFonts w:ascii="Calibri" w:hAnsi="Calibri" w:cs="Calibri"/>
          <w:sz w:val="20"/>
          <w:szCs w:val="20"/>
        </w:rPr>
        <w:t xml:space="preserve"> </w:t>
      </w:r>
      <w:r w:rsidR="3F117CAB" w:rsidRPr="078C23FE">
        <w:rPr>
          <w:rFonts w:ascii="Calibri" w:hAnsi="Calibri" w:cs="Calibri"/>
          <w:b/>
          <w:bCs/>
          <w:sz w:val="20"/>
          <w:szCs w:val="20"/>
        </w:rPr>
        <w:t xml:space="preserve">Záruční doba pro </w:t>
      </w:r>
      <w:r w:rsidR="00F000F5">
        <w:rPr>
          <w:rFonts w:ascii="Calibri" w:hAnsi="Calibri" w:cs="Calibri"/>
          <w:b/>
          <w:bCs/>
          <w:sz w:val="20"/>
          <w:szCs w:val="20"/>
        </w:rPr>
        <w:t>plnění jako celek</w:t>
      </w:r>
      <w:r w:rsidR="3F117CAB" w:rsidRPr="078C23FE">
        <w:rPr>
          <w:rFonts w:ascii="Calibri" w:hAnsi="Calibri" w:cs="Calibri"/>
          <w:b/>
          <w:bCs/>
          <w:sz w:val="20"/>
          <w:szCs w:val="20"/>
        </w:rPr>
        <w:t xml:space="preserve"> v souladu s přílohou č. 1 této smlouvy činí</w:t>
      </w:r>
      <w:r w:rsidR="6835087D" w:rsidRPr="078C23FE">
        <w:rPr>
          <w:rFonts w:ascii="Calibri" w:hAnsi="Calibri" w:cs="Calibri"/>
          <w:b/>
          <w:bCs/>
          <w:sz w:val="20"/>
          <w:szCs w:val="20"/>
        </w:rPr>
        <w:t xml:space="preserve"> 60</w:t>
      </w:r>
      <w:r w:rsidR="3F117CAB" w:rsidRPr="078C23FE">
        <w:rPr>
          <w:rFonts w:ascii="Calibri" w:hAnsi="Calibri" w:cs="Calibri"/>
          <w:b/>
          <w:bCs/>
          <w:sz w:val="20"/>
          <w:szCs w:val="20"/>
        </w:rPr>
        <w:t xml:space="preserve"> měsíců</w:t>
      </w:r>
      <w:r w:rsidR="00F000F5">
        <w:rPr>
          <w:rFonts w:ascii="Calibri" w:hAnsi="Calibri" w:cs="Calibri"/>
          <w:b/>
          <w:bCs/>
          <w:sz w:val="20"/>
          <w:szCs w:val="20"/>
        </w:rPr>
        <w:t xml:space="preserve"> a začíná běžet</w:t>
      </w:r>
      <w:r w:rsidR="3F117CAB" w:rsidRPr="078C23F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3F117CAB" w:rsidRPr="00F000F5">
        <w:rPr>
          <w:rFonts w:ascii="Calibri" w:hAnsi="Calibri" w:cs="Calibri"/>
          <w:b/>
          <w:bCs/>
          <w:sz w:val="20"/>
          <w:szCs w:val="20"/>
        </w:rPr>
        <w:t xml:space="preserve">ode dne předání a převzetí </w:t>
      </w:r>
      <w:r w:rsidR="00F000F5" w:rsidRPr="00F000F5">
        <w:rPr>
          <w:rFonts w:ascii="Calibri" w:hAnsi="Calibri" w:cs="Calibri"/>
          <w:b/>
          <w:bCs/>
          <w:sz w:val="20"/>
          <w:szCs w:val="20"/>
        </w:rPr>
        <w:t>plnění</w:t>
      </w:r>
      <w:r w:rsidR="6835087D" w:rsidRPr="078C23FE">
        <w:rPr>
          <w:rFonts w:ascii="Calibri" w:hAnsi="Calibri" w:cs="Calibri"/>
          <w:sz w:val="20"/>
          <w:szCs w:val="20"/>
        </w:rPr>
        <w:t>.</w:t>
      </w:r>
      <w:r w:rsidR="7FC5B627" w:rsidRPr="078C23FE">
        <w:rPr>
          <w:rFonts w:ascii="Calibri" w:hAnsi="Calibri" w:cs="Calibri"/>
          <w:sz w:val="20"/>
          <w:szCs w:val="20"/>
        </w:rPr>
        <w:t xml:space="preserve"> Pokud se ve vztahu k danému plnění jedná o záruku standardní (tj. svým rozsahem a délkou nevybočující ze standardů běžně užívaných v daném segmentu trhu pro dané plnění), záruku zohledňující a nepřesahující reálnou životnost dodaných komponent nebo záruku za jakost vztahující se na garanci zprovoznění nefunkčního systému (tj. zprovoznění typu </w:t>
      </w:r>
      <w:proofErr w:type="spellStart"/>
      <w:r w:rsidR="7FC5B627" w:rsidRPr="078C23FE">
        <w:rPr>
          <w:rFonts w:ascii="Calibri" w:hAnsi="Calibri" w:cs="Calibri"/>
          <w:sz w:val="20"/>
          <w:szCs w:val="20"/>
        </w:rPr>
        <w:t>Next</w:t>
      </w:r>
      <w:proofErr w:type="spellEnd"/>
      <w:r w:rsidR="7FC5B627" w:rsidRPr="078C23FE">
        <w:rPr>
          <w:rFonts w:ascii="Calibri" w:hAnsi="Calibri" w:cs="Calibri"/>
          <w:sz w:val="20"/>
          <w:szCs w:val="20"/>
        </w:rPr>
        <w:t xml:space="preserve"> Business </w:t>
      </w:r>
      <w:proofErr w:type="spellStart"/>
      <w:r w:rsidR="7FC5B627" w:rsidRPr="078C23FE">
        <w:rPr>
          <w:rFonts w:ascii="Calibri" w:hAnsi="Calibri" w:cs="Calibri"/>
          <w:sz w:val="20"/>
          <w:szCs w:val="20"/>
        </w:rPr>
        <w:t>Day</w:t>
      </w:r>
      <w:proofErr w:type="spellEnd"/>
      <w:r w:rsidR="7FC5B627" w:rsidRPr="078C23FE">
        <w:rPr>
          <w:rFonts w:ascii="Calibri" w:hAnsi="Calibri" w:cs="Calibri"/>
          <w:sz w:val="20"/>
          <w:szCs w:val="20"/>
        </w:rPr>
        <w:t xml:space="preserve"> on-</w:t>
      </w:r>
      <w:proofErr w:type="spellStart"/>
      <w:r w:rsidR="7FC5B627" w:rsidRPr="078C23FE">
        <w:rPr>
          <w:rFonts w:ascii="Calibri" w:hAnsi="Calibri" w:cs="Calibri"/>
          <w:sz w:val="20"/>
          <w:szCs w:val="20"/>
        </w:rPr>
        <w:t>site</w:t>
      </w:r>
      <w:proofErr w:type="spellEnd"/>
      <w:r w:rsidR="7FC5B627" w:rsidRPr="078C23FE">
        <w:rPr>
          <w:rFonts w:ascii="Calibri" w:hAnsi="Calibri" w:cs="Calibri"/>
          <w:sz w:val="20"/>
          <w:szCs w:val="20"/>
        </w:rPr>
        <w:t xml:space="preserve"> a obdobné) a pokud odpovídá běžným záručním podmínkám obdobných systémů v daném segmentu trhu a je úměrná požadavkům na funkčnost systémového řešení </w:t>
      </w:r>
      <w:r w:rsidR="7FC5B627" w:rsidRPr="078C23FE">
        <w:rPr>
          <w:rFonts w:ascii="Calibri" w:hAnsi="Calibri" w:cs="Calibri"/>
          <w:sz w:val="20"/>
          <w:szCs w:val="20"/>
        </w:rPr>
        <w:lastRenderedPageBreak/>
        <w:t>a přípustnou dobu jeho výpadku, pak bude tato záruka součástí nabídkové ceny předmětného plnění a nebude separátně vyčíslena (tj. bude zahrnuta do částky v čl. 4.1 této smlouvy).</w:t>
      </w:r>
    </w:p>
    <w:p w14:paraId="560A1AE8" w14:textId="79A9BA7A" w:rsidR="00510FDC" w:rsidRPr="00510FDC" w:rsidRDefault="00510FDC" w:rsidP="00510FDC">
      <w:pPr>
        <w:spacing w:line="280" w:lineRule="atLeast"/>
        <w:ind w:left="540"/>
        <w:jc w:val="both"/>
        <w:rPr>
          <w:rFonts w:ascii="Calibri" w:hAnsi="Calibri" w:cs="Calibri"/>
          <w:sz w:val="20"/>
          <w:szCs w:val="20"/>
        </w:rPr>
      </w:pPr>
      <w:r w:rsidRPr="00510FDC">
        <w:rPr>
          <w:rFonts w:ascii="Calibri" w:hAnsi="Calibri" w:cs="Calibri"/>
          <w:sz w:val="20"/>
          <w:szCs w:val="20"/>
        </w:rPr>
        <w:t xml:space="preserve">Pokud nelze pro dané technické aktivum požadovanou záruku při splnění výše uvedených podmínek získat, bude požadované zajištěno formou </w:t>
      </w:r>
      <w:r w:rsidRPr="00510FDC">
        <w:rPr>
          <w:rFonts w:ascii="Calibri" w:hAnsi="Calibri" w:cs="Calibri"/>
          <w:b/>
          <w:bCs/>
          <w:sz w:val="20"/>
          <w:szCs w:val="20"/>
        </w:rPr>
        <w:t>rozšířené záruky</w:t>
      </w:r>
      <w:r w:rsidRPr="00510FDC">
        <w:rPr>
          <w:rFonts w:ascii="Calibri" w:hAnsi="Calibri" w:cs="Calibri"/>
          <w:sz w:val="20"/>
          <w:szCs w:val="20"/>
        </w:rPr>
        <w:t xml:space="preserve"> </w:t>
      </w:r>
      <w:r w:rsidR="00D27392">
        <w:rPr>
          <w:rFonts w:ascii="Calibri" w:hAnsi="Calibri" w:cs="Calibri"/>
          <w:sz w:val="20"/>
          <w:szCs w:val="20"/>
        </w:rPr>
        <w:t>prodávajícího</w:t>
      </w:r>
      <w:r w:rsidRPr="00510FDC">
        <w:rPr>
          <w:rFonts w:ascii="Calibri" w:hAnsi="Calibri" w:cs="Calibri"/>
          <w:sz w:val="20"/>
          <w:szCs w:val="20"/>
        </w:rPr>
        <w:t>.</w:t>
      </w:r>
    </w:p>
    <w:p w14:paraId="5CB717E9" w14:textId="72E156FC" w:rsidR="00510FDC" w:rsidRPr="00510FDC" w:rsidRDefault="00510FDC" w:rsidP="00510FDC">
      <w:pPr>
        <w:spacing w:line="280" w:lineRule="atLeast"/>
        <w:ind w:left="540"/>
        <w:jc w:val="both"/>
        <w:rPr>
          <w:rFonts w:ascii="Calibri" w:hAnsi="Calibri" w:cs="Calibri"/>
          <w:sz w:val="20"/>
          <w:szCs w:val="20"/>
        </w:rPr>
      </w:pPr>
      <w:r w:rsidRPr="00510FDC">
        <w:rPr>
          <w:rFonts w:ascii="Calibri" w:hAnsi="Calibri" w:cs="Calibri"/>
          <w:sz w:val="20"/>
          <w:szCs w:val="20"/>
        </w:rPr>
        <w:t xml:space="preserve">Rozšířená záruka (případně část záruky za jakost přesahující standardy) jako samostatná položka </w:t>
      </w:r>
      <w:r>
        <w:rPr>
          <w:rFonts w:ascii="Calibri" w:hAnsi="Calibri" w:cs="Calibri"/>
          <w:sz w:val="20"/>
          <w:szCs w:val="20"/>
        </w:rPr>
        <w:t>je samostatně</w:t>
      </w:r>
      <w:r w:rsidRPr="00510FDC">
        <w:rPr>
          <w:rFonts w:ascii="Calibri" w:hAnsi="Calibri" w:cs="Calibri"/>
          <w:sz w:val="20"/>
          <w:szCs w:val="20"/>
        </w:rPr>
        <w:t xml:space="preserve"> finančně vyčíslena</w:t>
      </w:r>
      <w:r>
        <w:rPr>
          <w:rFonts w:ascii="Calibri" w:hAnsi="Calibri" w:cs="Calibri"/>
          <w:sz w:val="20"/>
          <w:szCs w:val="20"/>
        </w:rPr>
        <w:t xml:space="preserve"> v čl. 4.5 této smlouvy</w:t>
      </w:r>
      <w:r w:rsidRPr="00510FDC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>Stejně tak</w:t>
      </w:r>
      <w:r w:rsidRPr="00510FDC">
        <w:rPr>
          <w:rFonts w:ascii="Calibri" w:hAnsi="Calibri" w:cs="Calibri"/>
          <w:sz w:val="20"/>
          <w:szCs w:val="20"/>
        </w:rPr>
        <w:t xml:space="preserve"> budou </w:t>
      </w:r>
      <w:r>
        <w:rPr>
          <w:rFonts w:ascii="Calibri" w:hAnsi="Calibri" w:cs="Calibri"/>
          <w:sz w:val="20"/>
          <w:szCs w:val="20"/>
        </w:rPr>
        <w:t>do této částky v čl. 4.5 této smlouvy</w:t>
      </w:r>
      <w:r w:rsidRPr="00510FDC">
        <w:rPr>
          <w:rFonts w:ascii="Calibri" w:hAnsi="Calibri" w:cs="Calibri"/>
          <w:sz w:val="20"/>
          <w:szCs w:val="20"/>
        </w:rPr>
        <w:t xml:space="preserve"> uvedeny a vyčísleny i případné povinné průběžné platby za softwarové aktualizace či podporu bez přímé návaznosti na práva užití a záruku (typicky za nové funkcionality a rozvoj), pokud jsou součástí nabízeného plnění</w:t>
      </w:r>
      <w:r>
        <w:rPr>
          <w:rFonts w:ascii="Calibri" w:hAnsi="Calibri" w:cs="Calibri"/>
          <w:sz w:val="20"/>
          <w:szCs w:val="20"/>
        </w:rPr>
        <w:t>.</w:t>
      </w:r>
    </w:p>
    <w:p w14:paraId="1C99227F" w14:textId="409CFF81" w:rsidR="000F01AE" w:rsidRPr="00EC20A2" w:rsidRDefault="00510FDC" w:rsidP="00510FDC">
      <w:pPr>
        <w:spacing w:line="280" w:lineRule="atLeast"/>
        <w:ind w:left="540"/>
        <w:jc w:val="both"/>
        <w:rPr>
          <w:rFonts w:ascii="Calibri" w:hAnsi="Calibri" w:cs="Calibri"/>
          <w:sz w:val="20"/>
          <w:szCs w:val="20"/>
        </w:rPr>
      </w:pPr>
      <w:r w:rsidRPr="00510FDC">
        <w:rPr>
          <w:rFonts w:ascii="Calibri" w:hAnsi="Calibri" w:cs="Calibri"/>
          <w:sz w:val="20"/>
          <w:szCs w:val="20"/>
        </w:rPr>
        <w:t xml:space="preserve">Pro zamezení pochybností budu </w:t>
      </w:r>
      <w:r>
        <w:rPr>
          <w:rFonts w:ascii="Calibri" w:hAnsi="Calibri" w:cs="Calibri"/>
          <w:sz w:val="20"/>
          <w:szCs w:val="20"/>
        </w:rPr>
        <w:t>do této částky dle čl. 4.5</w:t>
      </w:r>
      <w:r w:rsidRPr="00510FDC">
        <w:rPr>
          <w:rFonts w:ascii="Calibri" w:hAnsi="Calibri" w:cs="Calibri"/>
          <w:sz w:val="20"/>
          <w:szCs w:val="20"/>
        </w:rPr>
        <w:t xml:space="preserve"> uvedeny a vyčísleny i všechny náklady typu Update </w:t>
      </w:r>
      <w:proofErr w:type="spellStart"/>
      <w:r w:rsidRPr="00510FDC">
        <w:rPr>
          <w:rFonts w:ascii="Calibri" w:hAnsi="Calibri" w:cs="Calibri"/>
          <w:sz w:val="20"/>
          <w:szCs w:val="20"/>
        </w:rPr>
        <w:t>fee</w:t>
      </w:r>
      <w:proofErr w:type="spellEnd"/>
      <w:r w:rsidRPr="00510FDC">
        <w:rPr>
          <w:rFonts w:ascii="Calibri" w:hAnsi="Calibri" w:cs="Calibri"/>
          <w:sz w:val="20"/>
          <w:szCs w:val="20"/>
        </w:rPr>
        <w:t xml:space="preserve">, Software Update </w:t>
      </w:r>
      <w:proofErr w:type="spellStart"/>
      <w:r w:rsidRPr="00510FDC">
        <w:rPr>
          <w:rFonts w:ascii="Calibri" w:hAnsi="Calibri" w:cs="Calibri"/>
          <w:sz w:val="20"/>
          <w:szCs w:val="20"/>
        </w:rPr>
        <w:t>License</w:t>
      </w:r>
      <w:proofErr w:type="spellEnd"/>
      <w:r w:rsidRPr="00510FDC">
        <w:rPr>
          <w:rFonts w:ascii="Calibri" w:hAnsi="Calibri" w:cs="Calibri"/>
          <w:sz w:val="20"/>
          <w:szCs w:val="20"/>
        </w:rPr>
        <w:t xml:space="preserve"> &amp; Support (SULS), Software </w:t>
      </w:r>
      <w:proofErr w:type="spellStart"/>
      <w:r w:rsidRPr="00510FDC">
        <w:rPr>
          <w:rFonts w:ascii="Calibri" w:hAnsi="Calibri" w:cs="Calibri"/>
          <w:sz w:val="20"/>
          <w:szCs w:val="20"/>
        </w:rPr>
        <w:t>Assurance</w:t>
      </w:r>
      <w:proofErr w:type="spellEnd"/>
      <w:r w:rsidRPr="00510FDC">
        <w:rPr>
          <w:rFonts w:ascii="Calibri" w:hAnsi="Calibri" w:cs="Calibri"/>
          <w:sz w:val="20"/>
          <w:szCs w:val="20"/>
        </w:rPr>
        <w:t xml:space="preserve"> (SA), Support &amp; </w:t>
      </w:r>
      <w:proofErr w:type="spellStart"/>
      <w:r w:rsidRPr="00510FDC">
        <w:rPr>
          <w:rFonts w:ascii="Calibri" w:hAnsi="Calibri" w:cs="Calibri"/>
          <w:sz w:val="20"/>
          <w:szCs w:val="20"/>
        </w:rPr>
        <w:t>Subscription</w:t>
      </w:r>
      <w:proofErr w:type="spellEnd"/>
      <w:r w:rsidRPr="00510FDC">
        <w:rPr>
          <w:rFonts w:ascii="Calibri" w:hAnsi="Calibri" w:cs="Calibri"/>
          <w:sz w:val="20"/>
          <w:szCs w:val="20"/>
        </w:rPr>
        <w:t xml:space="preserve"> (S&amp;S), </w:t>
      </w:r>
      <w:proofErr w:type="spellStart"/>
      <w:r w:rsidRPr="00510FDC">
        <w:rPr>
          <w:rFonts w:ascii="Calibri" w:hAnsi="Calibri" w:cs="Calibri"/>
          <w:sz w:val="20"/>
          <w:szCs w:val="20"/>
        </w:rPr>
        <w:t>ProSupport</w:t>
      </w:r>
      <w:proofErr w:type="spellEnd"/>
      <w:r w:rsidRPr="00510FD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510FDC">
        <w:rPr>
          <w:rFonts w:ascii="Calibri" w:hAnsi="Calibri" w:cs="Calibri"/>
          <w:sz w:val="20"/>
          <w:szCs w:val="20"/>
        </w:rPr>
        <w:t>Premier</w:t>
      </w:r>
      <w:proofErr w:type="spellEnd"/>
      <w:r w:rsidRPr="00510FDC">
        <w:rPr>
          <w:rFonts w:ascii="Calibri" w:hAnsi="Calibri" w:cs="Calibri"/>
          <w:sz w:val="20"/>
          <w:szCs w:val="20"/>
        </w:rPr>
        <w:t xml:space="preserve"> Support, </w:t>
      </w:r>
      <w:proofErr w:type="spellStart"/>
      <w:r w:rsidRPr="00510FDC">
        <w:rPr>
          <w:rFonts w:ascii="Calibri" w:hAnsi="Calibri" w:cs="Calibri"/>
          <w:sz w:val="20"/>
          <w:szCs w:val="20"/>
        </w:rPr>
        <w:t>Extended</w:t>
      </w:r>
      <w:proofErr w:type="spellEnd"/>
      <w:r w:rsidRPr="00510FDC">
        <w:rPr>
          <w:rFonts w:ascii="Calibri" w:hAnsi="Calibri" w:cs="Calibri"/>
          <w:sz w:val="20"/>
          <w:szCs w:val="20"/>
        </w:rPr>
        <w:t xml:space="preserve"> Support, </w:t>
      </w:r>
      <w:proofErr w:type="spellStart"/>
      <w:r w:rsidRPr="00510FDC">
        <w:rPr>
          <w:rFonts w:ascii="Calibri" w:hAnsi="Calibri" w:cs="Calibri"/>
          <w:sz w:val="20"/>
          <w:szCs w:val="20"/>
        </w:rPr>
        <w:t>Enterprise</w:t>
      </w:r>
      <w:proofErr w:type="spellEnd"/>
      <w:r w:rsidRPr="00510FDC">
        <w:rPr>
          <w:rFonts w:ascii="Calibri" w:hAnsi="Calibri" w:cs="Calibri"/>
          <w:sz w:val="20"/>
          <w:szCs w:val="20"/>
        </w:rPr>
        <w:t xml:space="preserve"> Support, </w:t>
      </w:r>
      <w:proofErr w:type="spellStart"/>
      <w:r w:rsidRPr="00510FDC">
        <w:rPr>
          <w:rFonts w:ascii="Calibri" w:hAnsi="Calibri" w:cs="Calibri"/>
          <w:sz w:val="20"/>
          <w:szCs w:val="20"/>
        </w:rPr>
        <w:t>Annual</w:t>
      </w:r>
      <w:proofErr w:type="spellEnd"/>
      <w:r w:rsidRPr="00510FD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10FDC">
        <w:rPr>
          <w:rFonts w:ascii="Calibri" w:hAnsi="Calibri" w:cs="Calibri"/>
          <w:sz w:val="20"/>
          <w:szCs w:val="20"/>
        </w:rPr>
        <w:t>Technical</w:t>
      </w:r>
      <w:proofErr w:type="spellEnd"/>
      <w:r w:rsidRPr="00510FDC">
        <w:rPr>
          <w:rFonts w:ascii="Calibri" w:hAnsi="Calibri" w:cs="Calibri"/>
          <w:sz w:val="20"/>
          <w:szCs w:val="20"/>
        </w:rPr>
        <w:t xml:space="preserve"> Support (ATS) nebo další obdobné, pokud jsou pro nabízené řešení výrobcem obligatorně vyžadovány.</w:t>
      </w:r>
    </w:p>
    <w:p w14:paraId="39CD1E9B" w14:textId="77777777" w:rsidR="000F01AE" w:rsidRPr="00EC20A2" w:rsidRDefault="000F01AE" w:rsidP="00E268FE">
      <w:pPr>
        <w:numPr>
          <w:ilvl w:val="0"/>
          <w:numId w:val="8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EC20A2">
        <w:rPr>
          <w:rFonts w:ascii="Calibri" w:hAnsi="Calibri" w:cs="Calibri"/>
          <w:bCs/>
          <w:sz w:val="20"/>
          <w:szCs w:val="20"/>
        </w:rPr>
        <w:t>Záruka se nevztahuje na spotřební materiál a na vady způsobené zaviněným jednáním kupujícího anebo způsobené vyšší mocí.</w:t>
      </w:r>
    </w:p>
    <w:p w14:paraId="0D1BEA31" w14:textId="77777777" w:rsidR="000F01AE" w:rsidRPr="000F01AE" w:rsidRDefault="000F01AE" w:rsidP="00E268FE">
      <w:pPr>
        <w:numPr>
          <w:ilvl w:val="0"/>
          <w:numId w:val="8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DC659D">
        <w:rPr>
          <w:rFonts w:ascii="Calibri" w:hAnsi="Calibri" w:cs="Calibri"/>
          <w:bCs/>
          <w:sz w:val="20"/>
          <w:szCs w:val="20"/>
        </w:rPr>
        <w:t>Kupující se zavazuje respektovat pokyny prodávajícího v oblasti údržby a používání správných pracovních postupů.</w:t>
      </w:r>
    </w:p>
    <w:p w14:paraId="02F41107" w14:textId="77777777" w:rsidR="000F01AE" w:rsidRPr="00F000F5" w:rsidRDefault="000F01AE" w:rsidP="00E268FE">
      <w:pPr>
        <w:numPr>
          <w:ilvl w:val="0"/>
          <w:numId w:val="8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F000F5">
        <w:rPr>
          <w:rFonts w:ascii="Calibri" w:hAnsi="Calibri" w:cs="Calibri"/>
          <w:sz w:val="20"/>
          <w:szCs w:val="20"/>
        </w:rPr>
        <w:t>Technická podpora a servis budou poskytovány minimálně po celou dobu udržitelnosti projektu (tj. min. 60 měsíců od</w:t>
      </w:r>
      <w:r w:rsidR="00F77747" w:rsidRPr="00F000F5">
        <w:rPr>
          <w:rFonts w:ascii="Calibri" w:hAnsi="Calibri" w:cs="Calibri"/>
          <w:sz w:val="20"/>
          <w:szCs w:val="20"/>
        </w:rPr>
        <w:t>e dne</w:t>
      </w:r>
      <w:r w:rsidRPr="00F000F5">
        <w:rPr>
          <w:rFonts w:ascii="Calibri" w:hAnsi="Calibri" w:cs="Calibri"/>
          <w:sz w:val="20"/>
          <w:szCs w:val="20"/>
        </w:rPr>
        <w:t xml:space="preserve"> předání do provozu).</w:t>
      </w:r>
    </w:p>
    <w:p w14:paraId="683DE7FF" w14:textId="1415E5C3" w:rsidR="000F01AE" w:rsidRPr="00F000F5" w:rsidRDefault="6835087D" w:rsidP="00E268FE">
      <w:pPr>
        <w:numPr>
          <w:ilvl w:val="0"/>
          <w:numId w:val="8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F000F5">
        <w:rPr>
          <w:rFonts w:ascii="Calibri" w:hAnsi="Calibri" w:cs="Calibri"/>
          <w:sz w:val="20"/>
          <w:szCs w:val="20"/>
        </w:rPr>
        <w:t>Technická podpora a servis budou realizovány v</w:t>
      </w:r>
      <w:r w:rsidR="00F000F5" w:rsidRPr="00F000F5">
        <w:rPr>
          <w:rFonts w:ascii="Calibri" w:hAnsi="Calibri" w:cs="Calibri"/>
          <w:sz w:val="20"/>
          <w:szCs w:val="20"/>
        </w:rPr>
        <w:t> lokalitách určených</w:t>
      </w:r>
      <w:r w:rsidRPr="00F000F5">
        <w:rPr>
          <w:rFonts w:ascii="Calibri" w:hAnsi="Calibri" w:cs="Calibri"/>
          <w:sz w:val="20"/>
          <w:szCs w:val="20"/>
        </w:rPr>
        <w:t xml:space="preserve"> kupující</w:t>
      </w:r>
      <w:r w:rsidR="00F000F5" w:rsidRPr="00F000F5">
        <w:rPr>
          <w:rFonts w:ascii="Calibri" w:hAnsi="Calibri" w:cs="Calibri"/>
          <w:sz w:val="20"/>
          <w:szCs w:val="20"/>
        </w:rPr>
        <w:t>m</w:t>
      </w:r>
      <w:r w:rsidR="00F000F5">
        <w:rPr>
          <w:rFonts w:ascii="Calibri" w:hAnsi="Calibri" w:cs="Calibri"/>
          <w:sz w:val="20"/>
          <w:szCs w:val="20"/>
        </w:rPr>
        <w:t xml:space="preserve"> (v místech instalace)</w:t>
      </w:r>
      <w:r w:rsidRPr="00F000F5">
        <w:rPr>
          <w:rFonts w:ascii="Calibri" w:hAnsi="Calibri" w:cs="Calibri"/>
          <w:sz w:val="20"/>
          <w:szCs w:val="20"/>
        </w:rPr>
        <w:t>. Výjimku tvoří činnosti realizovatelné vzdáleným připojením.</w:t>
      </w:r>
    </w:p>
    <w:p w14:paraId="29FA1328" w14:textId="77777777" w:rsidR="00E8023E" w:rsidRPr="000F01AE" w:rsidRDefault="000F01AE" w:rsidP="00E268FE">
      <w:pPr>
        <w:numPr>
          <w:ilvl w:val="0"/>
          <w:numId w:val="8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případě nahlášení závady prodávajícímu bude </w:t>
      </w:r>
      <w:r w:rsidR="00E8023E" w:rsidRPr="000F01AE">
        <w:rPr>
          <w:rFonts w:ascii="Calibri" w:hAnsi="Calibri" w:cs="Calibri"/>
          <w:sz w:val="20"/>
          <w:szCs w:val="20"/>
        </w:rPr>
        <w:t xml:space="preserve">oprava provedena </w:t>
      </w:r>
      <w:r>
        <w:rPr>
          <w:rFonts w:ascii="Calibri" w:hAnsi="Calibri" w:cs="Calibri"/>
          <w:sz w:val="20"/>
          <w:szCs w:val="20"/>
        </w:rPr>
        <w:t xml:space="preserve">vzdáleně či </w:t>
      </w:r>
      <w:r w:rsidR="00E8023E" w:rsidRPr="000F01AE">
        <w:rPr>
          <w:rFonts w:ascii="Calibri" w:hAnsi="Calibri" w:cs="Calibri"/>
          <w:sz w:val="20"/>
          <w:szCs w:val="20"/>
        </w:rPr>
        <w:t xml:space="preserve">na místě nejpozději následující pracovní den od </w:t>
      </w:r>
      <w:r>
        <w:rPr>
          <w:rFonts w:ascii="Calibri" w:hAnsi="Calibri" w:cs="Calibri"/>
          <w:sz w:val="20"/>
          <w:szCs w:val="20"/>
        </w:rPr>
        <w:t xml:space="preserve">jejího </w:t>
      </w:r>
      <w:r w:rsidR="00E8023E" w:rsidRPr="000F01AE">
        <w:rPr>
          <w:rFonts w:ascii="Calibri" w:hAnsi="Calibri" w:cs="Calibri"/>
          <w:sz w:val="20"/>
          <w:szCs w:val="20"/>
        </w:rPr>
        <w:t xml:space="preserve">nahlášení. V případě nemožnosti opravy následující pracovní den nabídne prodávající kupujícímu alternativu (tj. náhradní řešení) na dobu trvání opravy. V případě záruční opravy </w:t>
      </w:r>
      <w:r w:rsidR="007D4ED4" w:rsidRPr="000F01AE">
        <w:rPr>
          <w:rFonts w:ascii="Calibri" w:hAnsi="Calibri" w:cs="Calibri"/>
          <w:bCs/>
          <w:sz w:val="20"/>
          <w:szCs w:val="20"/>
        </w:rPr>
        <w:t xml:space="preserve">(tj. pokud se nejedná o </w:t>
      </w:r>
      <w:r w:rsidR="007D4ED4" w:rsidRPr="000F01AE">
        <w:rPr>
          <w:rFonts w:ascii="Calibri" w:hAnsi="Calibri" w:cs="Calibri"/>
          <w:sz w:val="20"/>
          <w:szCs w:val="20"/>
        </w:rPr>
        <w:t xml:space="preserve">vadu způsobenou zaviněným jednáním kupujícího anebo způsobenou vyšší mocí), </w:t>
      </w:r>
      <w:r w:rsidR="00E8023E" w:rsidRPr="000F01AE">
        <w:rPr>
          <w:rFonts w:ascii="Calibri" w:hAnsi="Calibri" w:cs="Calibri"/>
          <w:sz w:val="20"/>
          <w:szCs w:val="20"/>
        </w:rPr>
        <w:t>není kupující povinen hradit náklady na cestovné servisních techniků ke kupujícímu a zpět</w:t>
      </w:r>
      <w:r w:rsidR="007D4ED4" w:rsidRPr="000F01AE">
        <w:rPr>
          <w:rFonts w:ascii="Calibri" w:hAnsi="Calibri" w:cs="Calibri"/>
          <w:bCs/>
          <w:sz w:val="20"/>
          <w:szCs w:val="20"/>
        </w:rPr>
        <w:t>, tyto náklady nese prodávající.</w:t>
      </w:r>
    </w:p>
    <w:p w14:paraId="79BDB720" w14:textId="77777777" w:rsidR="00623252" w:rsidRPr="000F01AE" w:rsidRDefault="00623252" w:rsidP="00E268FE">
      <w:pPr>
        <w:numPr>
          <w:ilvl w:val="0"/>
          <w:numId w:val="8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DC659D">
        <w:rPr>
          <w:rFonts w:ascii="Calibri" w:hAnsi="Calibri" w:cs="Calibri"/>
          <w:bCs/>
          <w:sz w:val="20"/>
          <w:szCs w:val="20"/>
        </w:rPr>
        <w:t>Nahlášení závady bude provedeno prostřednictvím e-mailu zaslaného na e-mailovou adresu</w:t>
      </w:r>
      <w:r w:rsidRPr="00DC659D">
        <w:rPr>
          <w:rFonts w:ascii="Calibri" w:hAnsi="Calibri" w:cs="Calibri"/>
          <w:bCs/>
          <w:sz w:val="20"/>
          <w:szCs w:val="20"/>
          <w:highlight w:val="yellow"/>
        </w:rPr>
        <w:t>……...</w:t>
      </w:r>
      <w:r w:rsidRPr="00DC659D">
        <w:rPr>
          <w:rStyle w:val="Znakapoznpodarou"/>
          <w:rFonts w:ascii="Calibri" w:hAnsi="Calibri" w:cs="Calibri"/>
          <w:bCs/>
          <w:sz w:val="20"/>
          <w:szCs w:val="20"/>
          <w:highlight w:val="yellow"/>
        </w:rPr>
        <w:footnoteReference w:id="1"/>
      </w:r>
      <w:r w:rsidR="000F01AE">
        <w:rPr>
          <w:rFonts w:ascii="Calibri" w:hAnsi="Calibri" w:cs="Calibri"/>
          <w:bCs/>
          <w:sz w:val="20"/>
          <w:szCs w:val="20"/>
        </w:rPr>
        <w:t>,</w:t>
      </w:r>
      <w:r w:rsidRPr="00DC659D">
        <w:rPr>
          <w:rFonts w:ascii="Calibri" w:hAnsi="Calibri" w:cs="Calibri"/>
          <w:bCs/>
          <w:sz w:val="20"/>
          <w:szCs w:val="20"/>
        </w:rPr>
        <w:t xml:space="preserve"> telefonicky na tel. číslo </w:t>
      </w:r>
      <w:r w:rsidRPr="00DC659D">
        <w:rPr>
          <w:rFonts w:ascii="Calibri" w:hAnsi="Calibri" w:cs="Calibri"/>
          <w:bCs/>
          <w:sz w:val="20"/>
          <w:szCs w:val="20"/>
          <w:highlight w:val="yellow"/>
        </w:rPr>
        <w:t>……...</w:t>
      </w:r>
      <w:r w:rsidRPr="00DC659D">
        <w:rPr>
          <w:rStyle w:val="Znakapoznpodarou"/>
          <w:rFonts w:ascii="Calibri" w:hAnsi="Calibri" w:cs="Calibri"/>
          <w:bCs/>
          <w:sz w:val="20"/>
          <w:szCs w:val="20"/>
          <w:highlight w:val="yellow"/>
        </w:rPr>
        <w:footnoteReference w:id="2"/>
      </w:r>
      <w:r w:rsidR="000F01AE">
        <w:rPr>
          <w:rFonts w:ascii="Calibri" w:hAnsi="Calibri" w:cs="Calibri"/>
          <w:bCs/>
          <w:sz w:val="20"/>
          <w:szCs w:val="20"/>
        </w:rPr>
        <w:t xml:space="preserve">, prostřednictvím </w:t>
      </w:r>
      <w:r w:rsidR="000F01AE" w:rsidRPr="000F01AE">
        <w:rPr>
          <w:rFonts w:ascii="Calibri" w:hAnsi="Calibri" w:cs="Calibri"/>
          <w:bCs/>
          <w:sz w:val="20"/>
          <w:szCs w:val="20"/>
        </w:rPr>
        <w:t xml:space="preserve">elektronické oznamovací služby (tzv. </w:t>
      </w:r>
      <w:r w:rsidR="000F01AE">
        <w:rPr>
          <w:rFonts w:ascii="Calibri" w:hAnsi="Calibri" w:cs="Calibri"/>
          <w:bCs/>
          <w:sz w:val="20"/>
          <w:szCs w:val="20"/>
        </w:rPr>
        <w:t>H</w:t>
      </w:r>
      <w:r w:rsidR="000F01AE" w:rsidRPr="000F01AE">
        <w:rPr>
          <w:rFonts w:ascii="Calibri" w:hAnsi="Calibri" w:cs="Calibri"/>
          <w:bCs/>
          <w:sz w:val="20"/>
          <w:szCs w:val="20"/>
        </w:rPr>
        <w:t>elp</w:t>
      </w:r>
      <w:r w:rsidR="000F01AE">
        <w:rPr>
          <w:rFonts w:ascii="Calibri" w:hAnsi="Calibri" w:cs="Calibri"/>
          <w:bCs/>
          <w:sz w:val="20"/>
          <w:szCs w:val="20"/>
        </w:rPr>
        <w:t>D</w:t>
      </w:r>
      <w:r w:rsidR="000F01AE" w:rsidRPr="000F01AE">
        <w:rPr>
          <w:rFonts w:ascii="Calibri" w:hAnsi="Calibri" w:cs="Calibri"/>
          <w:bCs/>
          <w:sz w:val="20"/>
          <w:szCs w:val="20"/>
        </w:rPr>
        <w:t>esku</w:t>
      </w:r>
      <w:r w:rsidR="000F01AE">
        <w:rPr>
          <w:rFonts w:ascii="Calibri" w:hAnsi="Calibri" w:cs="Calibri"/>
          <w:bCs/>
          <w:sz w:val="20"/>
          <w:szCs w:val="20"/>
        </w:rPr>
        <w:t xml:space="preserve">) nebo </w:t>
      </w:r>
      <w:r w:rsidR="00F77747">
        <w:rPr>
          <w:rFonts w:ascii="Calibri" w:hAnsi="Calibri" w:cs="Calibri"/>
          <w:bCs/>
          <w:sz w:val="20"/>
          <w:szCs w:val="20"/>
        </w:rPr>
        <w:t>p</w:t>
      </w:r>
      <w:r w:rsidR="000F01AE" w:rsidRPr="000F01AE">
        <w:rPr>
          <w:rFonts w:ascii="Calibri" w:hAnsi="Calibri" w:cs="Calibri"/>
          <w:bCs/>
          <w:sz w:val="20"/>
          <w:szCs w:val="20"/>
        </w:rPr>
        <w:t>rostřednictvím vzdáleného připojení na PC uživatele / server</w:t>
      </w:r>
      <w:r w:rsidR="000F01AE">
        <w:rPr>
          <w:rFonts w:ascii="Calibri" w:hAnsi="Calibri" w:cs="Calibri"/>
          <w:bCs/>
          <w:sz w:val="20"/>
          <w:szCs w:val="20"/>
        </w:rPr>
        <w:t>.</w:t>
      </w:r>
    </w:p>
    <w:p w14:paraId="42B8717E" w14:textId="77777777" w:rsidR="000F01AE" w:rsidRPr="003E4A1D" w:rsidRDefault="000F01AE" w:rsidP="00E268FE">
      <w:pPr>
        <w:numPr>
          <w:ilvl w:val="0"/>
          <w:numId w:val="8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0F01AE">
        <w:rPr>
          <w:rFonts w:ascii="Calibri" w:hAnsi="Calibri" w:cs="Calibri"/>
          <w:bCs/>
          <w:sz w:val="20"/>
          <w:szCs w:val="20"/>
        </w:rPr>
        <w:t>Služba HelpDesk umožní příjem požadavku na servisní zásah v českém jazyce prostřednictvím webového rozhraní v režimu 7x24 hod (s výjimkou předem nahlášených servisních zásahů při správě systému HelpDesk).</w:t>
      </w:r>
    </w:p>
    <w:p w14:paraId="38E6BA3A" w14:textId="77777777" w:rsidR="004A3BB2" w:rsidRPr="0029236A" w:rsidRDefault="00180113" w:rsidP="00E268FE">
      <w:pPr>
        <w:numPr>
          <w:ilvl w:val="0"/>
          <w:numId w:val="8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3B3800">
        <w:rPr>
          <w:rFonts w:ascii="Calibri" w:hAnsi="Calibri" w:cs="Calibri"/>
          <w:bCs/>
          <w:sz w:val="20"/>
          <w:szCs w:val="20"/>
        </w:rPr>
        <w:t>Prodávající se v záruční době zavazuje zajistit dostupnost náhradních dílů a spotřebního materiálu</w:t>
      </w:r>
      <w:r w:rsidR="008F58BD">
        <w:rPr>
          <w:rFonts w:ascii="Calibri" w:hAnsi="Calibri" w:cs="Calibri"/>
          <w:bCs/>
          <w:sz w:val="20"/>
          <w:szCs w:val="20"/>
        </w:rPr>
        <w:t>.</w:t>
      </w:r>
    </w:p>
    <w:p w14:paraId="0683198B" w14:textId="3E387DA5" w:rsidR="00686C97" w:rsidRPr="00E574B2" w:rsidRDefault="0029236A" w:rsidP="00E268FE">
      <w:pPr>
        <w:numPr>
          <w:ilvl w:val="0"/>
          <w:numId w:val="8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Veškeré záruční a servisní podmínky, uvedené v tomto článku 6. smlouvy, platí pouze tehdy, </w:t>
      </w:r>
      <w:r w:rsidRPr="00640C0E">
        <w:rPr>
          <w:rFonts w:ascii="Calibri" w:hAnsi="Calibri" w:cs="Calibri"/>
          <w:b/>
          <w:sz w:val="20"/>
          <w:szCs w:val="20"/>
        </w:rPr>
        <w:t>pokud není v rámci technické specifikace v příloze č. 1 této smlouvy pro konkrétní produkty uvedeno jinak</w:t>
      </w:r>
      <w:r>
        <w:rPr>
          <w:rFonts w:ascii="Calibri" w:hAnsi="Calibri" w:cs="Calibri"/>
          <w:bCs/>
          <w:sz w:val="20"/>
          <w:szCs w:val="20"/>
        </w:rPr>
        <w:t>. (Resp. odlišná úprava záručních a servisních podmínek v příloze č. 1 této smlouvy má před tímto čl. 6 smlouvy přednost.)</w:t>
      </w:r>
    </w:p>
    <w:p w14:paraId="5DCA9061" w14:textId="77777777" w:rsidR="00E574B2" w:rsidRPr="00E574B2" w:rsidRDefault="00E574B2" w:rsidP="00E574B2">
      <w:pPr>
        <w:spacing w:line="280" w:lineRule="atLeast"/>
        <w:jc w:val="both"/>
        <w:rPr>
          <w:rFonts w:ascii="Calibri" w:hAnsi="Calibri" w:cs="Calibri"/>
          <w:sz w:val="20"/>
          <w:szCs w:val="20"/>
        </w:rPr>
      </w:pPr>
    </w:p>
    <w:p w14:paraId="6E778E22" w14:textId="77777777" w:rsidR="00104657" w:rsidRPr="00DC659D" w:rsidRDefault="00104657" w:rsidP="00BC686A">
      <w:pPr>
        <w:keepNext/>
        <w:spacing w:line="280" w:lineRule="atLeast"/>
        <w:ind w:left="284" w:hanging="284"/>
        <w:jc w:val="center"/>
        <w:rPr>
          <w:rFonts w:ascii="Calibri" w:hAnsi="Calibri" w:cs="Calibri"/>
          <w:b/>
          <w:sz w:val="20"/>
          <w:szCs w:val="20"/>
        </w:rPr>
      </w:pPr>
      <w:r w:rsidRPr="00DC659D">
        <w:rPr>
          <w:rFonts w:ascii="Calibri" w:hAnsi="Calibri" w:cs="Calibri"/>
          <w:b/>
          <w:sz w:val="20"/>
          <w:szCs w:val="20"/>
        </w:rPr>
        <w:t>7. Smluvní pokuta a úrok z prodlení</w:t>
      </w:r>
    </w:p>
    <w:p w14:paraId="7B94A7BB" w14:textId="1BC9243E" w:rsidR="00104657" w:rsidRPr="00DC659D" w:rsidRDefault="00104657" w:rsidP="00E268FE">
      <w:pPr>
        <w:pStyle w:val="Zkladntext"/>
        <w:numPr>
          <w:ilvl w:val="0"/>
          <w:numId w:val="9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>Smluvními stranami bylo ujednáno, že pokud bude kupující v prodlení s úhradou ceny plnění ujednané podle této smlouvy, je kupující povinen zaplatit úrok z prodlení ve výši 0,</w:t>
      </w:r>
      <w:r w:rsidR="00E574B2">
        <w:rPr>
          <w:rFonts w:ascii="Calibri" w:hAnsi="Calibri" w:cs="Calibri"/>
        </w:rPr>
        <w:t>1</w:t>
      </w:r>
      <w:r w:rsidRPr="00DC659D">
        <w:rPr>
          <w:rFonts w:ascii="Calibri" w:hAnsi="Calibri" w:cs="Calibri"/>
        </w:rPr>
        <w:t xml:space="preserve"> % z dlužné částky za každý</w:t>
      </w:r>
      <w:r w:rsidR="006C40E4">
        <w:rPr>
          <w:rFonts w:ascii="Calibri" w:hAnsi="Calibri" w:cs="Calibri"/>
        </w:rPr>
        <w:t>,</w:t>
      </w:r>
      <w:r w:rsidRPr="00DC659D">
        <w:rPr>
          <w:rFonts w:ascii="Calibri" w:hAnsi="Calibri" w:cs="Calibri"/>
        </w:rPr>
        <w:t xml:space="preserve"> byť i započatý kalendářní den prodlení.</w:t>
      </w:r>
    </w:p>
    <w:p w14:paraId="2A4DD4FF" w14:textId="15686CCD" w:rsidR="00E574B2" w:rsidRDefault="00104657" w:rsidP="00E268FE">
      <w:pPr>
        <w:pStyle w:val="Zkladntext"/>
        <w:numPr>
          <w:ilvl w:val="0"/>
          <w:numId w:val="9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>Ocitne-li se prodávající v prodlení s plněním podle této smlouvy</w:t>
      </w:r>
      <w:r w:rsidR="00E574B2">
        <w:rPr>
          <w:rFonts w:ascii="Calibri" w:hAnsi="Calibri" w:cs="Calibri"/>
        </w:rPr>
        <w:t>:</w:t>
      </w:r>
      <w:r w:rsidR="008E266A">
        <w:rPr>
          <w:rFonts w:ascii="Calibri" w:hAnsi="Calibri" w:cs="Calibri"/>
        </w:rPr>
        <w:t xml:space="preserve"> </w:t>
      </w:r>
    </w:p>
    <w:p w14:paraId="10F3BB08" w14:textId="6B22140F" w:rsidR="00104657" w:rsidRDefault="008E266A" w:rsidP="00E268FE">
      <w:pPr>
        <w:pStyle w:val="Zkladntext"/>
        <w:numPr>
          <w:ilvl w:val="1"/>
          <w:numId w:val="9"/>
        </w:numPr>
        <w:spacing w:after="0" w:line="28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dle</w:t>
      </w:r>
      <w:r w:rsidR="00CF478A">
        <w:rPr>
          <w:rFonts w:ascii="Calibri" w:hAnsi="Calibri" w:cs="Calibri"/>
        </w:rPr>
        <w:t xml:space="preserve"> čl. 5.2</w:t>
      </w:r>
      <w:r w:rsidR="00E574B2">
        <w:rPr>
          <w:rFonts w:ascii="Calibri" w:hAnsi="Calibri" w:cs="Calibri"/>
        </w:rPr>
        <w:t xml:space="preserve"> písm. a)</w:t>
      </w:r>
      <w:r w:rsidR="00B3621F">
        <w:rPr>
          <w:rFonts w:ascii="Calibri" w:hAnsi="Calibri" w:cs="Calibri"/>
        </w:rPr>
        <w:t xml:space="preserve"> </w:t>
      </w:r>
      <w:r w:rsidR="00E574B2">
        <w:rPr>
          <w:rFonts w:ascii="Calibri" w:hAnsi="Calibri" w:cs="Calibri"/>
        </w:rPr>
        <w:t xml:space="preserve">této smlouvy, tak </w:t>
      </w:r>
      <w:r w:rsidR="00104657" w:rsidRPr="00DC659D">
        <w:rPr>
          <w:rFonts w:ascii="Calibri" w:hAnsi="Calibri" w:cs="Calibri"/>
        </w:rPr>
        <w:t>je povinen zap</w:t>
      </w:r>
      <w:r w:rsidR="00E34E77" w:rsidRPr="00DC659D">
        <w:rPr>
          <w:rFonts w:ascii="Calibri" w:hAnsi="Calibri" w:cs="Calibri"/>
        </w:rPr>
        <w:t xml:space="preserve">latit kupujícímu smluvní pokutu </w:t>
      </w:r>
      <w:r w:rsidR="00873279" w:rsidRPr="00DC659D">
        <w:rPr>
          <w:rFonts w:ascii="Calibri" w:hAnsi="Calibri" w:cs="Calibri"/>
        </w:rPr>
        <w:t>ve výši 0,</w:t>
      </w:r>
      <w:r w:rsidR="00E574B2">
        <w:rPr>
          <w:rFonts w:ascii="Calibri" w:hAnsi="Calibri" w:cs="Calibri"/>
        </w:rPr>
        <w:t>1</w:t>
      </w:r>
      <w:r w:rsidR="0074202A" w:rsidRPr="00DC659D">
        <w:rPr>
          <w:rFonts w:ascii="Calibri" w:hAnsi="Calibri" w:cs="Calibri"/>
        </w:rPr>
        <w:t xml:space="preserve"> </w:t>
      </w:r>
      <w:r w:rsidR="00E34E77" w:rsidRPr="00DC659D">
        <w:rPr>
          <w:rFonts w:ascii="Calibri" w:hAnsi="Calibri" w:cs="Calibri"/>
        </w:rPr>
        <w:t xml:space="preserve">% </w:t>
      </w:r>
      <w:r w:rsidR="00CF478A">
        <w:rPr>
          <w:rFonts w:ascii="Calibri" w:hAnsi="Calibri" w:cs="Calibri"/>
        </w:rPr>
        <w:t>z kupní</w:t>
      </w:r>
      <w:r w:rsidR="00E34E77" w:rsidRPr="00DC659D">
        <w:rPr>
          <w:rFonts w:ascii="Calibri" w:hAnsi="Calibri" w:cs="Calibri"/>
        </w:rPr>
        <w:t xml:space="preserve"> ceny</w:t>
      </w:r>
      <w:r w:rsidR="00E574B2">
        <w:rPr>
          <w:rFonts w:ascii="Calibri" w:hAnsi="Calibri" w:cs="Calibri"/>
        </w:rPr>
        <w:t xml:space="preserve"> nedodané části zboží</w:t>
      </w:r>
      <w:r w:rsidR="00CF478A">
        <w:rPr>
          <w:rFonts w:ascii="Calibri" w:hAnsi="Calibri" w:cs="Calibri"/>
        </w:rPr>
        <w:t>, a to</w:t>
      </w:r>
      <w:r w:rsidR="00E34E77" w:rsidRPr="00DC659D">
        <w:rPr>
          <w:rFonts w:ascii="Calibri" w:hAnsi="Calibri" w:cs="Calibri"/>
        </w:rPr>
        <w:t xml:space="preserve"> za každý</w:t>
      </w:r>
      <w:r w:rsidR="00397B06">
        <w:rPr>
          <w:rFonts w:ascii="Calibri" w:hAnsi="Calibri" w:cs="Calibri"/>
        </w:rPr>
        <w:t>,</w:t>
      </w:r>
      <w:r w:rsidR="00E34E77" w:rsidRPr="00DC659D">
        <w:rPr>
          <w:rFonts w:ascii="Calibri" w:hAnsi="Calibri" w:cs="Calibri"/>
        </w:rPr>
        <w:t xml:space="preserve"> byť i započatý kalendářní den prodlení se splněním dodávky.</w:t>
      </w:r>
    </w:p>
    <w:p w14:paraId="5FE172B3" w14:textId="19A4ED19" w:rsidR="00E574B2" w:rsidRDefault="00E574B2" w:rsidP="00E268FE">
      <w:pPr>
        <w:pStyle w:val="Zkladntext"/>
        <w:numPr>
          <w:ilvl w:val="1"/>
          <w:numId w:val="9"/>
        </w:numPr>
        <w:spacing w:after="0" w:line="28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Dle čl. 5.2 písm. b) této smlouvy, tak</w:t>
      </w:r>
      <w:r w:rsidRPr="00DC659D">
        <w:rPr>
          <w:rFonts w:ascii="Calibri" w:hAnsi="Calibri" w:cs="Calibri"/>
        </w:rPr>
        <w:t xml:space="preserve"> je povinen zaplatit kupujícímu smluvní pokutu ve výši 0,</w:t>
      </w:r>
      <w:r>
        <w:rPr>
          <w:rFonts w:ascii="Calibri" w:hAnsi="Calibri" w:cs="Calibri"/>
        </w:rPr>
        <w:t>1</w:t>
      </w:r>
      <w:r w:rsidRPr="00DC659D">
        <w:rPr>
          <w:rFonts w:ascii="Calibri" w:hAnsi="Calibri" w:cs="Calibri"/>
        </w:rPr>
        <w:t xml:space="preserve"> % </w:t>
      </w:r>
      <w:r>
        <w:rPr>
          <w:rFonts w:ascii="Calibri" w:hAnsi="Calibri" w:cs="Calibri"/>
        </w:rPr>
        <w:t>z celkové kupní</w:t>
      </w:r>
      <w:r w:rsidRPr="00DC659D">
        <w:rPr>
          <w:rFonts w:ascii="Calibri" w:hAnsi="Calibri" w:cs="Calibri"/>
        </w:rPr>
        <w:t xml:space="preserve"> ceny</w:t>
      </w:r>
      <w:r>
        <w:rPr>
          <w:rFonts w:ascii="Calibri" w:hAnsi="Calibri" w:cs="Calibri"/>
        </w:rPr>
        <w:t>, a to</w:t>
      </w:r>
      <w:r w:rsidRPr="00DC659D">
        <w:rPr>
          <w:rFonts w:ascii="Calibri" w:hAnsi="Calibri" w:cs="Calibri"/>
        </w:rPr>
        <w:t xml:space="preserve"> za každý</w:t>
      </w:r>
      <w:r>
        <w:rPr>
          <w:rFonts w:ascii="Calibri" w:hAnsi="Calibri" w:cs="Calibri"/>
        </w:rPr>
        <w:t>,</w:t>
      </w:r>
      <w:r w:rsidRPr="00DC659D">
        <w:rPr>
          <w:rFonts w:ascii="Calibri" w:hAnsi="Calibri" w:cs="Calibri"/>
        </w:rPr>
        <w:t xml:space="preserve"> byť i započatý kalendářní den prodlení se splněním </w:t>
      </w:r>
      <w:r>
        <w:rPr>
          <w:rFonts w:ascii="Calibri" w:hAnsi="Calibri" w:cs="Calibri"/>
        </w:rPr>
        <w:t>plnění</w:t>
      </w:r>
      <w:r w:rsidRPr="00DC659D">
        <w:rPr>
          <w:rFonts w:ascii="Calibri" w:hAnsi="Calibri" w:cs="Calibri"/>
        </w:rPr>
        <w:t>.</w:t>
      </w:r>
    </w:p>
    <w:p w14:paraId="435FF1CB" w14:textId="77777777" w:rsidR="00104657" w:rsidRPr="006E1750" w:rsidRDefault="00104657" w:rsidP="00E268FE">
      <w:pPr>
        <w:pStyle w:val="Zkladntext"/>
        <w:numPr>
          <w:ilvl w:val="0"/>
          <w:numId w:val="9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</w:rPr>
      </w:pPr>
      <w:r w:rsidRPr="006E1750">
        <w:rPr>
          <w:rFonts w:ascii="Calibri" w:hAnsi="Calibri" w:cs="Calibri"/>
        </w:rPr>
        <w:t>Uplatněním nároku na smluvní pokutu dle této smlouvy není dotčen nárok na náhradu škody</w:t>
      </w:r>
      <w:r w:rsidR="001F518B" w:rsidRPr="006E1750">
        <w:rPr>
          <w:rFonts w:ascii="Calibri" w:hAnsi="Calibri" w:cs="Calibri"/>
        </w:rPr>
        <w:t>.</w:t>
      </w:r>
    </w:p>
    <w:p w14:paraId="52CBCE17" w14:textId="77777777" w:rsidR="00E34E77" w:rsidRDefault="00104657" w:rsidP="00E268FE">
      <w:pPr>
        <w:pStyle w:val="Bezmezer"/>
        <w:numPr>
          <w:ilvl w:val="0"/>
          <w:numId w:val="9"/>
        </w:numPr>
        <w:tabs>
          <w:tab w:val="clear" w:pos="720"/>
        </w:tabs>
        <w:spacing w:line="280" w:lineRule="atLeast"/>
        <w:ind w:left="540" w:hanging="540"/>
        <w:jc w:val="both"/>
        <w:rPr>
          <w:rFonts w:cs="Calibri"/>
          <w:sz w:val="20"/>
          <w:szCs w:val="20"/>
          <w:lang w:eastAsia="cs-CZ"/>
        </w:rPr>
      </w:pPr>
      <w:r w:rsidRPr="00DC659D">
        <w:rPr>
          <w:rFonts w:cs="Calibri"/>
          <w:sz w:val="20"/>
          <w:szCs w:val="20"/>
        </w:rPr>
        <w:t>Smluvní pokuta je splatná ve lhůtě 30 dnů od doručení jejího vyúčtování povinné smluvní straně z této smluvní pokuty.</w:t>
      </w:r>
    </w:p>
    <w:p w14:paraId="6FAE1DEC" w14:textId="77777777" w:rsidR="00686C97" w:rsidRPr="00686C97" w:rsidRDefault="00686C97" w:rsidP="00686C97">
      <w:pPr>
        <w:pStyle w:val="Bezmezer"/>
        <w:spacing w:line="280" w:lineRule="atLeast"/>
        <w:jc w:val="both"/>
        <w:rPr>
          <w:rFonts w:cs="Calibri"/>
          <w:sz w:val="20"/>
          <w:szCs w:val="20"/>
          <w:lang w:eastAsia="cs-CZ"/>
        </w:rPr>
      </w:pPr>
    </w:p>
    <w:p w14:paraId="05BED136" w14:textId="77777777" w:rsidR="00104657" w:rsidRPr="00DC659D" w:rsidRDefault="00104657" w:rsidP="00BC686A">
      <w:pPr>
        <w:pStyle w:val="Nadpis3"/>
        <w:spacing w:line="280" w:lineRule="atLeast"/>
        <w:jc w:val="center"/>
        <w:rPr>
          <w:rFonts w:ascii="Calibri" w:hAnsi="Calibri" w:cs="Calibri"/>
          <w:sz w:val="20"/>
        </w:rPr>
      </w:pPr>
      <w:r w:rsidRPr="00DC659D">
        <w:rPr>
          <w:rFonts w:ascii="Calibri" w:hAnsi="Calibri" w:cs="Calibri"/>
          <w:color w:val="auto"/>
          <w:sz w:val="20"/>
        </w:rPr>
        <w:t>8. Doba trvání smlouvy, ukončení</w:t>
      </w:r>
      <w:r w:rsidRPr="00DC659D">
        <w:rPr>
          <w:rFonts w:ascii="Calibri" w:hAnsi="Calibri" w:cs="Calibri"/>
          <w:sz w:val="20"/>
        </w:rPr>
        <w:t xml:space="preserve"> smlouvy</w:t>
      </w:r>
    </w:p>
    <w:p w14:paraId="046CBC71" w14:textId="77777777" w:rsidR="00104657" w:rsidRPr="00DC659D" w:rsidRDefault="00104657" w:rsidP="00E268FE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Tato smlouva se uzavírá na dobu určitou, nejdéle do doby splnění závazku dle této smlouvy</w:t>
      </w:r>
      <w:r w:rsidR="00554DA7">
        <w:rPr>
          <w:rFonts w:ascii="Calibri" w:hAnsi="Calibri" w:cs="Calibri"/>
          <w:sz w:val="20"/>
          <w:szCs w:val="20"/>
        </w:rPr>
        <w:t xml:space="preserve"> (tj. do okamžiku ukončení poskytování </w:t>
      </w:r>
      <w:r w:rsidR="00554DA7" w:rsidRPr="000C0912">
        <w:rPr>
          <w:rFonts w:ascii="Calibri" w:hAnsi="Calibri" w:cs="Calibri"/>
          <w:sz w:val="20"/>
          <w:szCs w:val="20"/>
        </w:rPr>
        <w:t>nezbytn</w:t>
      </w:r>
      <w:r w:rsidR="00554DA7">
        <w:rPr>
          <w:rFonts w:ascii="Calibri" w:hAnsi="Calibri" w:cs="Calibri"/>
          <w:sz w:val="20"/>
          <w:szCs w:val="20"/>
        </w:rPr>
        <w:t>é</w:t>
      </w:r>
      <w:r w:rsidR="00554DA7" w:rsidRPr="000C0912">
        <w:rPr>
          <w:rFonts w:ascii="Calibri" w:hAnsi="Calibri" w:cs="Calibri"/>
          <w:sz w:val="20"/>
          <w:szCs w:val="20"/>
        </w:rPr>
        <w:t xml:space="preserve"> </w:t>
      </w:r>
      <w:r w:rsidR="00554DA7">
        <w:rPr>
          <w:rFonts w:ascii="Calibri" w:hAnsi="Calibri" w:cs="Calibri"/>
          <w:sz w:val="20"/>
          <w:szCs w:val="20"/>
        </w:rPr>
        <w:t xml:space="preserve">technické </w:t>
      </w:r>
      <w:r w:rsidR="00554DA7" w:rsidRPr="000C0912">
        <w:rPr>
          <w:rFonts w:ascii="Calibri" w:hAnsi="Calibri" w:cs="Calibri"/>
          <w:sz w:val="20"/>
          <w:szCs w:val="20"/>
        </w:rPr>
        <w:t>podpor</w:t>
      </w:r>
      <w:r w:rsidR="00554DA7">
        <w:rPr>
          <w:rFonts w:ascii="Calibri" w:hAnsi="Calibri" w:cs="Calibri"/>
          <w:sz w:val="20"/>
          <w:szCs w:val="20"/>
        </w:rPr>
        <w:t>y, resp. do doby uplynutí</w:t>
      </w:r>
      <w:r w:rsidR="00554DA7" w:rsidRPr="000C0912">
        <w:rPr>
          <w:rFonts w:ascii="Calibri" w:hAnsi="Calibri" w:cs="Calibri"/>
          <w:sz w:val="20"/>
          <w:szCs w:val="20"/>
        </w:rPr>
        <w:t xml:space="preserve"> 5 let od data předání </w:t>
      </w:r>
      <w:r w:rsidR="00554DA7">
        <w:rPr>
          <w:rFonts w:ascii="Calibri" w:hAnsi="Calibri" w:cs="Calibri"/>
          <w:sz w:val="20"/>
          <w:szCs w:val="20"/>
        </w:rPr>
        <w:t xml:space="preserve">zboží </w:t>
      </w:r>
      <w:r w:rsidR="00554DA7" w:rsidRPr="000C0912">
        <w:rPr>
          <w:rFonts w:ascii="Calibri" w:hAnsi="Calibri" w:cs="Calibri"/>
          <w:sz w:val="20"/>
          <w:szCs w:val="20"/>
        </w:rPr>
        <w:t>do provozu</w:t>
      </w:r>
      <w:r w:rsidR="00554DA7">
        <w:rPr>
          <w:rFonts w:ascii="Calibri" w:hAnsi="Calibri" w:cs="Calibri"/>
          <w:sz w:val="20"/>
          <w:szCs w:val="20"/>
        </w:rPr>
        <w:t>)</w:t>
      </w:r>
      <w:r w:rsidRPr="00DC659D">
        <w:rPr>
          <w:rFonts w:ascii="Calibri" w:hAnsi="Calibri" w:cs="Calibri"/>
          <w:sz w:val="20"/>
          <w:szCs w:val="20"/>
        </w:rPr>
        <w:t>.</w:t>
      </w:r>
      <w:r w:rsidR="001B3BC3">
        <w:rPr>
          <w:rFonts w:ascii="Calibri" w:hAnsi="Calibri" w:cs="Calibri"/>
          <w:sz w:val="20"/>
          <w:szCs w:val="20"/>
        </w:rPr>
        <w:t xml:space="preserve"> </w:t>
      </w:r>
    </w:p>
    <w:p w14:paraId="4F67A264" w14:textId="77777777" w:rsidR="005024BD" w:rsidRPr="00DC659D" w:rsidRDefault="005024BD" w:rsidP="005024BD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Od této smlouvy může smluvní strana dotčená porušením povinnosti jednostranně odstoupit pro podstatné porušení této smlouvy, přičemž za podstatné porušení této smlouvy se zejména považuje:</w:t>
      </w:r>
    </w:p>
    <w:p w14:paraId="55CDA91F" w14:textId="77777777" w:rsidR="005024BD" w:rsidRPr="00DC659D" w:rsidRDefault="005024BD" w:rsidP="005024BD">
      <w:pPr>
        <w:numPr>
          <w:ilvl w:val="1"/>
          <w:numId w:val="27"/>
        </w:numPr>
        <w:spacing w:line="280" w:lineRule="atLeast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na straně kupujícího – nezaplacení kupní ceny podle této smlouvy ve lhůtě delší </w:t>
      </w:r>
      <w:r>
        <w:rPr>
          <w:rFonts w:ascii="Calibri" w:hAnsi="Calibri" w:cs="Calibri"/>
          <w:sz w:val="20"/>
          <w:szCs w:val="20"/>
        </w:rPr>
        <w:t>60</w:t>
      </w:r>
      <w:r w:rsidRPr="00DC659D">
        <w:rPr>
          <w:rFonts w:ascii="Calibri" w:hAnsi="Calibri" w:cs="Calibri"/>
          <w:sz w:val="20"/>
          <w:szCs w:val="20"/>
        </w:rPr>
        <w:t xml:space="preserve"> dní po dni splatnosti příslušné faktury, </w:t>
      </w:r>
    </w:p>
    <w:p w14:paraId="4DDDFF73" w14:textId="77777777" w:rsidR="005024BD" w:rsidRPr="00DC659D" w:rsidRDefault="005024BD" w:rsidP="005024BD">
      <w:pPr>
        <w:numPr>
          <w:ilvl w:val="1"/>
          <w:numId w:val="27"/>
        </w:numPr>
        <w:spacing w:line="280" w:lineRule="atLeast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 na straně prodávajícího – prodlení s dodáním zboží o více než 1</w:t>
      </w:r>
      <w:r>
        <w:rPr>
          <w:rFonts w:ascii="Calibri" w:hAnsi="Calibri" w:cs="Calibri"/>
          <w:sz w:val="20"/>
          <w:szCs w:val="20"/>
        </w:rPr>
        <w:t>4</w:t>
      </w:r>
      <w:r w:rsidRPr="00DC659D">
        <w:rPr>
          <w:rFonts w:ascii="Calibri" w:hAnsi="Calibri" w:cs="Calibri"/>
          <w:sz w:val="20"/>
          <w:szCs w:val="20"/>
        </w:rPr>
        <w:t xml:space="preserve"> dní po termínu dodání dle čl. 5.2. či dodání nefunkčního zboží, nesplňujícího požadavky čl. 3 této smlouvy</w:t>
      </w:r>
      <w:r>
        <w:rPr>
          <w:rFonts w:ascii="Calibri" w:hAnsi="Calibri" w:cs="Calibri"/>
          <w:sz w:val="20"/>
          <w:szCs w:val="20"/>
        </w:rPr>
        <w:t xml:space="preserve">, marné uplynutí sjednané lhůty pro vyřízení záruční opravy dle čl. 6.6. či prodlení s opravou chyb </w:t>
      </w:r>
      <w:r w:rsidRPr="00034F87">
        <w:rPr>
          <w:rFonts w:ascii="Calibri" w:hAnsi="Calibri" w:cs="Calibri"/>
          <w:sz w:val="20"/>
          <w:szCs w:val="20"/>
        </w:rPr>
        <w:t>bránící</w:t>
      </w:r>
      <w:r>
        <w:rPr>
          <w:rFonts w:ascii="Calibri" w:hAnsi="Calibri" w:cs="Calibri"/>
          <w:sz w:val="20"/>
          <w:szCs w:val="20"/>
        </w:rPr>
        <w:t xml:space="preserve">ch </w:t>
      </w:r>
      <w:r w:rsidRPr="00034F87">
        <w:rPr>
          <w:rFonts w:ascii="Calibri" w:hAnsi="Calibri" w:cs="Calibri"/>
          <w:sz w:val="20"/>
          <w:szCs w:val="20"/>
        </w:rPr>
        <w:t xml:space="preserve">užívání </w:t>
      </w:r>
      <w:r>
        <w:rPr>
          <w:rFonts w:ascii="Calibri" w:hAnsi="Calibri" w:cs="Calibri"/>
          <w:sz w:val="20"/>
          <w:szCs w:val="20"/>
        </w:rPr>
        <w:t xml:space="preserve">zboží </w:t>
      </w:r>
      <w:r w:rsidRPr="00034F87">
        <w:rPr>
          <w:rFonts w:ascii="Calibri" w:hAnsi="Calibri" w:cs="Calibri"/>
          <w:sz w:val="20"/>
          <w:szCs w:val="20"/>
        </w:rPr>
        <w:t>dle účelu smlouvy</w:t>
      </w:r>
      <w:r>
        <w:rPr>
          <w:rFonts w:ascii="Calibri" w:hAnsi="Calibri" w:cs="Calibri"/>
          <w:sz w:val="20"/>
          <w:szCs w:val="20"/>
        </w:rPr>
        <w:t>, a to o</w:t>
      </w:r>
      <w:r w:rsidRPr="00DC659D">
        <w:rPr>
          <w:rFonts w:ascii="Calibri" w:hAnsi="Calibri" w:cs="Calibri"/>
          <w:sz w:val="20"/>
          <w:szCs w:val="20"/>
        </w:rPr>
        <w:t xml:space="preserve"> více než 1</w:t>
      </w:r>
      <w:r>
        <w:rPr>
          <w:rFonts w:ascii="Calibri" w:hAnsi="Calibri" w:cs="Calibri"/>
          <w:sz w:val="20"/>
          <w:szCs w:val="20"/>
        </w:rPr>
        <w:t>4</w:t>
      </w:r>
      <w:r w:rsidRPr="00DC659D">
        <w:rPr>
          <w:rFonts w:ascii="Calibri" w:hAnsi="Calibri" w:cs="Calibri"/>
          <w:sz w:val="20"/>
          <w:szCs w:val="20"/>
        </w:rPr>
        <w:t xml:space="preserve"> dní po</w:t>
      </w:r>
      <w:r>
        <w:rPr>
          <w:rFonts w:ascii="Calibri" w:hAnsi="Calibri" w:cs="Calibri"/>
          <w:sz w:val="20"/>
          <w:szCs w:val="20"/>
        </w:rPr>
        <w:t xml:space="preserve"> sjednaném</w:t>
      </w:r>
      <w:r w:rsidRPr="00DC659D">
        <w:rPr>
          <w:rFonts w:ascii="Calibri" w:hAnsi="Calibri" w:cs="Calibri"/>
          <w:sz w:val="20"/>
          <w:szCs w:val="20"/>
        </w:rPr>
        <w:t xml:space="preserve"> termínu</w:t>
      </w:r>
      <w:r>
        <w:rPr>
          <w:rFonts w:ascii="Calibri" w:hAnsi="Calibri" w:cs="Calibri"/>
          <w:sz w:val="20"/>
          <w:szCs w:val="20"/>
        </w:rPr>
        <w:t>.</w:t>
      </w:r>
    </w:p>
    <w:p w14:paraId="4A990DB1" w14:textId="77777777" w:rsidR="00104657" w:rsidRDefault="00104657" w:rsidP="00E268FE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DC659D">
        <w:rPr>
          <w:rFonts w:ascii="Calibri" w:hAnsi="Calibri" w:cs="Calibri"/>
          <w:bCs/>
          <w:sz w:val="20"/>
          <w:szCs w:val="20"/>
        </w:rPr>
        <w:t>Smluvní strana porušením povinnosti dotčená je povinna odstoupení od smlouvy písemně oznámit druhé smluvní straně.</w:t>
      </w:r>
    </w:p>
    <w:p w14:paraId="6CAF2BDF" w14:textId="77777777" w:rsidR="00DE0BBA" w:rsidRPr="009547C6" w:rsidRDefault="00DE0BBA" w:rsidP="00DE0BBA">
      <w:pPr>
        <w:spacing w:line="280" w:lineRule="atLeast"/>
        <w:ind w:left="540"/>
        <w:jc w:val="both"/>
        <w:rPr>
          <w:rFonts w:ascii="Calibri" w:hAnsi="Calibri" w:cs="Calibri"/>
          <w:bCs/>
          <w:sz w:val="20"/>
          <w:szCs w:val="20"/>
        </w:rPr>
      </w:pPr>
    </w:p>
    <w:p w14:paraId="1732EB6C" w14:textId="77777777" w:rsidR="00104657" w:rsidRPr="00DC659D" w:rsidRDefault="00104657" w:rsidP="00BC686A">
      <w:pPr>
        <w:pStyle w:val="Nadpis3"/>
        <w:spacing w:line="280" w:lineRule="atLeast"/>
        <w:jc w:val="center"/>
        <w:rPr>
          <w:rFonts w:ascii="Calibri" w:hAnsi="Calibri" w:cs="Calibri"/>
          <w:sz w:val="20"/>
        </w:rPr>
      </w:pPr>
      <w:r w:rsidRPr="00DC659D">
        <w:rPr>
          <w:rFonts w:ascii="Calibri" w:hAnsi="Calibri" w:cs="Calibri"/>
          <w:sz w:val="20"/>
        </w:rPr>
        <w:t>9. Ostatní ujednání</w:t>
      </w:r>
    </w:p>
    <w:p w14:paraId="177E46CF" w14:textId="77777777" w:rsidR="00104657" w:rsidRPr="00DC659D" w:rsidRDefault="00104657" w:rsidP="00E268FE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Smluvní strany se dohodly, že vlastnické právo k dodanému předmětu smlouvy nabývá kupující okamžikem</w:t>
      </w:r>
      <w:r w:rsidR="00554DA7">
        <w:rPr>
          <w:rFonts w:ascii="Calibri" w:hAnsi="Calibri" w:cs="Calibri"/>
          <w:sz w:val="20"/>
          <w:szCs w:val="20"/>
        </w:rPr>
        <w:t xml:space="preserve"> převzetí zboží od prodávajícího.</w:t>
      </w:r>
      <w:r w:rsidRPr="00DC659D">
        <w:rPr>
          <w:rFonts w:ascii="Calibri" w:hAnsi="Calibri" w:cs="Calibri"/>
          <w:sz w:val="20"/>
          <w:szCs w:val="20"/>
        </w:rPr>
        <w:t xml:space="preserve"> </w:t>
      </w:r>
    </w:p>
    <w:p w14:paraId="626F2BFE" w14:textId="77777777" w:rsidR="004D1075" w:rsidRPr="00DC659D" w:rsidRDefault="004D1075" w:rsidP="00E268FE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</w:rPr>
        <w:t xml:space="preserve">Nebezpečí škody na zboží přechází z prodávajícího na kupujícího okamžikem převzetí zboží od prodávajícího či okamžikem, kdy kupujícímu bylo umožněno zboží převzít a ten jej nepřevzal. </w:t>
      </w:r>
    </w:p>
    <w:p w14:paraId="5DF7A356" w14:textId="77777777" w:rsidR="00104657" w:rsidRPr="00DC659D" w:rsidRDefault="00104657" w:rsidP="00E268FE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Smluvní strany se zavazují vzájemně spolupracovat a poskytovat si veškeré informace potřebné pro řádné plnění svých vzájemných závazků. Smluvní strany jsou povinny informovat druhou smluvní stranu o</w:t>
      </w:r>
      <w:r w:rsidR="006540F3">
        <w:rPr>
          <w:rFonts w:ascii="Calibri" w:hAnsi="Calibri" w:cs="Calibri"/>
          <w:sz w:val="20"/>
          <w:szCs w:val="20"/>
        </w:rPr>
        <w:t> </w:t>
      </w:r>
      <w:r w:rsidRPr="00DC659D">
        <w:rPr>
          <w:rFonts w:ascii="Calibri" w:hAnsi="Calibri" w:cs="Calibri"/>
          <w:sz w:val="20"/>
          <w:szCs w:val="20"/>
        </w:rPr>
        <w:t xml:space="preserve">veškerých skutečnostech, které jsou nebo mohou být </w:t>
      </w:r>
      <w:r w:rsidR="00E34E77" w:rsidRPr="00DC659D">
        <w:rPr>
          <w:rFonts w:ascii="Calibri" w:hAnsi="Calibri" w:cs="Calibri"/>
          <w:sz w:val="20"/>
          <w:szCs w:val="20"/>
        </w:rPr>
        <w:t>důležité pro řádné plnění této s</w:t>
      </w:r>
      <w:r w:rsidRPr="00DC659D">
        <w:rPr>
          <w:rFonts w:ascii="Calibri" w:hAnsi="Calibri" w:cs="Calibri"/>
          <w:sz w:val="20"/>
          <w:szCs w:val="20"/>
        </w:rPr>
        <w:t>mlouvy.</w:t>
      </w:r>
    </w:p>
    <w:p w14:paraId="004201F2" w14:textId="77777777" w:rsidR="00104657" w:rsidRPr="006C6840" w:rsidRDefault="00104657" w:rsidP="00E268FE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Smluvními stranami bylo ujednáno, že veškeré informace, jež si navzájem poskytnou, jsou označeny jako důvěrné a žádná ze smluvních stran není oprávněna je poskytnout třetí osobě ani použít v rozporu s jejich účelem pro své potřeby.</w:t>
      </w:r>
    </w:p>
    <w:p w14:paraId="7F51635F" w14:textId="77777777" w:rsidR="006C6840" w:rsidRPr="006C6840" w:rsidRDefault="006C6840" w:rsidP="00E268FE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Prodávající </w:t>
      </w:r>
      <w:r w:rsidRPr="006C6840">
        <w:rPr>
          <w:rFonts w:ascii="Calibri" w:hAnsi="Calibri" w:cs="Calibri"/>
          <w:sz w:val="20"/>
          <w:szCs w:val="20"/>
        </w:rPr>
        <w:t xml:space="preserve">nesmí bez předchozího souhlasu </w:t>
      </w:r>
      <w:r>
        <w:rPr>
          <w:rFonts w:ascii="Calibri" w:hAnsi="Calibri" w:cs="Calibri"/>
          <w:sz w:val="20"/>
          <w:szCs w:val="20"/>
        </w:rPr>
        <w:t>kupujícího</w:t>
      </w:r>
      <w:r w:rsidRPr="006C6840">
        <w:rPr>
          <w:rFonts w:ascii="Calibri" w:hAnsi="Calibri" w:cs="Calibri"/>
          <w:sz w:val="20"/>
          <w:szCs w:val="20"/>
        </w:rPr>
        <w:t xml:space="preserve"> postoupit svá práva a povinnosti plynoucí ze smlouvy třetí osobě.</w:t>
      </w:r>
    </w:p>
    <w:p w14:paraId="705E3822" w14:textId="77777777" w:rsidR="00104657" w:rsidRPr="00DC659D" w:rsidRDefault="00104657" w:rsidP="00E268FE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Kupující se zavazuje umožnit přístup určeným pracovníkům prodávajícího do prostoru svého objektu za účelem splnění této smlouvy</w:t>
      </w:r>
      <w:r w:rsidR="00307B75" w:rsidRPr="00DC659D">
        <w:rPr>
          <w:rFonts w:ascii="Calibri" w:hAnsi="Calibri" w:cs="Calibri"/>
          <w:sz w:val="20"/>
          <w:szCs w:val="20"/>
        </w:rPr>
        <w:t xml:space="preserve"> (</w:t>
      </w:r>
      <w:r w:rsidR="00C1071F">
        <w:rPr>
          <w:rFonts w:ascii="Calibri" w:hAnsi="Calibri" w:cs="Calibri"/>
          <w:sz w:val="20"/>
          <w:szCs w:val="20"/>
        </w:rPr>
        <w:t>předání a převzet</w:t>
      </w:r>
      <w:r w:rsidR="00C93D28">
        <w:rPr>
          <w:rFonts w:ascii="Calibri" w:hAnsi="Calibri" w:cs="Calibri"/>
          <w:sz w:val="20"/>
          <w:szCs w:val="20"/>
        </w:rPr>
        <w:t>í</w:t>
      </w:r>
      <w:r w:rsidR="009547C6">
        <w:rPr>
          <w:rFonts w:ascii="Calibri" w:hAnsi="Calibri" w:cs="Calibri"/>
          <w:sz w:val="20"/>
          <w:szCs w:val="20"/>
        </w:rPr>
        <w:t xml:space="preserve"> </w:t>
      </w:r>
      <w:r w:rsidR="00307B75" w:rsidRPr="00DC659D">
        <w:rPr>
          <w:rFonts w:ascii="Calibri" w:hAnsi="Calibri" w:cs="Calibri"/>
          <w:sz w:val="20"/>
          <w:szCs w:val="20"/>
        </w:rPr>
        <w:t>zboží</w:t>
      </w:r>
      <w:r w:rsidR="00417291">
        <w:rPr>
          <w:rFonts w:ascii="Calibri" w:hAnsi="Calibri" w:cs="Calibri"/>
          <w:sz w:val="20"/>
          <w:szCs w:val="20"/>
        </w:rPr>
        <w:t>, servis</w:t>
      </w:r>
      <w:r w:rsidR="006540F3">
        <w:rPr>
          <w:rFonts w:ascii="Calibri" w:hAnsi="Calibri" w:cs="Calibri"/>
          <w:sz w:val="20"/>
          <w:szCs w:val="20"/>
        </w:rPr>
        <w:t xml:space="preserve"> a technická podpora</w:t>
      </w:r>
      <w:r w:rsidR="00307B75" w:rsidRPr="00DC659D">
        <w:rPr>
          <w:rFonts w:ascii="Calibri" w:hAnsi="Calibri" w:cs="Calibri"/>
          <w:sz w:val="20"/>
          <w:szCs w:val="20"/>
        </w:rPr>
        <w:t>)</w:t>
      </w:r>
      <w:r w:rsidR="00C1071F">
        <w:rPr>
          <w:rFonts w:ascii="Calibri" w:hAnsi="Calibri" w:cs="Calibri"/>
          <w:sz w:val="20"/>
          <w:szCs w:val="20"/>
        </w:rPr>
        <w:t>.</w:t>
      </w:r>
    </w:p>
    <w:p w14:paraId="699C6BE8" w14:textId="77777777" w:rsidR="00104657" w:rsidRPr="00DC659D" w:rsidRDefault="00104657" w:rsidP="00E268FE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Právní vztahy touto smlouvou neupravené, jakož i právní poměry z ní vznikající a vyplývající, se řídí příslušnými ustanoveními </w:t>
      </w:r>
      <w:r w:rsidR="005A38FE" w:rsidRPr="00DC659D">
        <w:rPr>
          <w:rFonts w:ascii="Calibri" w:hAnsi="Calibri" w:cs="Calibri"/>
          <w:sz w:val="20"/>
          <w:szCs w:val="20"/>
        </w:rPr>
        <w:t xml:space="preserve">zákona č. 89/2012 Sb., občanského zákoníku </w:t>
      </w:r>
      <w:r w:rsidRPr="00DC659D">
        <w:rPr>
          <w:rFonts w:ascii="Calibri" w:hAnsi="Calibri" w:cs="Calibri"/>
          <w:sz w:val="20"/>
          <w:szCs w:val="20"/>
        </w:rPr>
        <w:t>a dalšími právními předpisy České republiky.</w:t>
      </w:r>
    </w:p>
    <w:p w14:paraId="30E4915A" w14:textId="77777777" w:rsidR="00104657" w:rsidRPr="00DC659D" w:rsidRDefault="00104657" w:rsidP="00E268FE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Ujednává se, že případné spory vzniklé z této smlouvy budou účastníci řešit především vzájemnou dohodou. Pro řízení o případných sporných nárocích se ujednává příslušnost soudů. Rozhodným právem je právo České republiky.</w:t>
      </w:r>
    </w:p>
    <w:p w14:paraId="4BA8FD04" w14:textId="77777777" w:rsidR="00104657" w:rsidRPr="001106DA" w:rsidRDefault="00104657" w:rsidP="00E268FE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Za písemnou formu výzvy nebo oznámení se pro účely této smlouvy pokládají oznámení učiněná elektronickou poštou na dohodnuté elektronické adresy.</w:t>
      </w:r>
    </w:p>
    <w:p w14:paraId="2CFF5BB2" w14:textId="77777777" w:rsidR="001106DA" w:rsidRDefault="001106DA" w:rsidP="00E268FE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Prodávající </w:t>
      </w:r>
      <w:r w:rsidRPr="001106DA">
        <w:rPr>
          <w:rFonts w:ascii="Calibri" w:hAnsi="Calibri" w:cs="Calibri"/>
          <w:sz w:val="20"/>
          <w:szCs w:val="20"/>
        </w:rPr>
        <w:t xml:space="preserve">je povinen zajistit, že veškeré vlastnosti předmětu smlouvy, včetně jeho update, legislativních update, upgrade a legislativních upgrade budou po celou dobu účinnosti této smlouvy odpovídat obecně platným právním předpisům ČR. </w:t>
      </w:r>
    </w:p>
    <w:p w14:paraId="5B6D7BF4" w14:textId="77777777" w:rsidR="001106DA" w:rsidRDefault="00790D4F" w:rsidP="00E268FE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Prodávající </w:t>
      </w:r>
      <w:r w:rsidR="001106DA" w:rsidRPr="001106DA">
        <w:rPr>
          <w:rFonts w:ascii="Calibri" w:hAnsi="Calibri" w:cs="Calibri"/>
          <w:sz w:val="20"/>
          <w:szCs w:val="20"/>
        </w:rPr>
        <w:t xml:space="preserve">prohlašuje, že bude mít po celou dobu plnění předmětu smlouvy uzavřenu pojistnou smlouvu kryjící odpovědnost za škodu způsobenou provozní činností s limitem pojistného plnění </w:t>
      </w:r>
      <w:r w:rsidR="001106DA">
        <w:rPr>
          <w:rFonts w:ascii="Calibri" w:hAnsi="Calibri" w:cs="Calibri"/>
          <w:sz w:val="20"/>
          <w:szCs w:val="20"/>
        </w:rPr>
        <w:t xml:space="preserve">minimální výši kupní ceny zboží dle čl. 4.1., </w:t>
      </w:r>
      <w:r w:rsidR="001106DA" w:rsidRPr="001106DA">
        <w:rPr>
          <w:rFonts w:ascii="Calibri" w:hAnsi="Calibri" w:cs="Calibri"/>
          <w:sz w:val="20"/>
          <w:szCs w:val="20"/>
        </w:rPr>
        <w:t xml:space="preserve">kterou se zavazuje kdykoliv na vyžádání předložit k nahlédnutí </w:t>
      </w:r>
      <w:r>
        <w:rPr>
          <w:rFonts w:ascii="Calibri" w:hAnsi="Calibri" w:cs="Calibri"/>
          <w:sz w:val="20"/>
          <w:szCs w:val="20"/>
        </w:rPr>
        <w:t>kupujícímu.</w:t>
      </w:r>
    </w:p>
    <w:p w14:paraId="123913A3" w14:textId="77777777" w:rsidR="00741F75" w:rsidRPr="001106DA" w:rsidRDefault="00741F75" w:rsidP="00741F75">
      <w:pPr>
        <w:spacing w:line="280" w:lineRule="atLeast"/>
        <w:jc w:val="both"/>
        <w:rPr>
          <w:rFonts w:ascii="Calibri" w:hAnsi="Calibri" w:cs="Calibri"/>
          <w:sz w:val="20"/>
          <w:szCs w:val="20"/>
        </w:rPr>
      </w:pPr>
    </w:p>
    <w:p w14:paraId="32B31F72" w14:textId="77777777" w:rsidR="00104657" w:rsidRPr="00DC659D" w:rsidRDefault="00104657" w:rsidP="00BC686A">
      <w:pPr>
        <w:pStyle w:val="Nadpis3"/>
        <w:spacing w:line="280" w:lineRule="atLeast"/>
        <w:jc w:val="center"/>
        <w:rPr>
          <w:rFonts w:ascii="Calibri" w:hAnsi="Calibri" w:cs="Calibri"/>
          <w:sz w:val="20"/>
        </w:rPr>
      </w:pPr>
      <w:r w:rsidRPr="00DC659D">
        <w:rPr>
          <w:rFonts w:ascii="Calibri" w:hAnsi="Calibri" w:cs="Calibri"/>
          <w:sz w:val="20"/>
        </w:rPr>
        <w:t>10. Závěrečná ustanovení</w:t>
      </w:r>
    </w:p>
    <w:p w14:paraId="1CCA19FB" w14:textId="77777777" w:rsidR="00104657" w:rsidRDefault="00104657" w:rsidP="00E268FE">
      <w:pPr>
        <w:numPr>
          <w:ilvl w:val="0"/>
          <w:numId w:val="12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Prodávající je povinen umožnit všem subjektům oprávněným k výkonu kontroly projektu, z jehož prostředků je dodávka hrazena, provést kontrolu dokladů souvisejících s plněním zakázky, a to po dobu danou právními předpisy ČR k jejich archivaci (zákon č. 563/1991 Sb., o účetnictví, ve znění pozdějších předpisů a zákon č. 235/2004 Sb., o dani z přidané hodnoty, ve znění pozdějších předpisů).</w:t>
      </w:r>
    </w:p>
    <w:p w14:paraId="0C8BAA5E" w14:textId="37BFF7C6" w:rsidR="00B4796D" w:rsidRPr="00DC659D" w:rsidRDefault="009773A3" w:rsidP="00E268FE">
      <w:pPr>
        <w:numPr>
          <w:ilvl w:val="0"/>
          <w:numId w:val="12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Prodávající</w:t>
      </w:r>
      <w:r w:rsidR="00B4796D" w:rsidRPr="00B4796D">
        <w:rPr>
          <w:rFonts w:ascii="Calibri" w:hAnsi="Calibri" w:cs="Calibri"/>
          <w:sz w:val="20"/>
          <w:szCs w:val="20"/>
        </w:rPr>
        <w:t xml:space="preserve"> je povinen uchovávat veškerou dokumentaci související s realizací plnění dle Smlouvy včetně účetních dokladů po dobu deseti let od finančního ukončení projektu s názvem </w:t>
      </w:r>
      <w:r w:rsidR="00956BE6" w:rsidRPr="00956BE6">
        <w:rPr>
          <w:rFonts w:ascii="Calibri" w:hAnsi="Calibri" w:cs="Calibri"/>
          <w:b/>
          <w:bCs/>
          <w:sz w:val="20"/>
          <w:szCs w:val="20"/>
        </w:rPr>
        <w:t xml:space="preserve">"Zajištění kybernetické bezpečnosti informačních systémů CDV", </w:t>
      </w:r>
      <w:proofErr w:type="spellStart"/>
      <w:r w:rsidR="00956BE6" w:rsidRPr="00956BE6">
        <w:rPr>
          <w:rFonts w:ascii="Calibri" w:hAnsi="Calibri" w:cs="Calibri"/>
          <w:b/>
          <w:bCs/>
          <w:sz w:val="20"/>
          <w:szCs w:val="20"/>
        </w:rPr>
        <w:t>reg</w:t>
      </w:r>
      <w:proofErr w:type="spellEnd"/>
      <w:r w:rsidR="00956BE6" w:rsidRPr="00956BE6">
        <w:rPr>
          <w:rFonts w:ascii="Calibri" w:hAnsi="Calibri" w:cs="Calibri"/>
          <w:b/>
          <w:bCs/>
          <w:sz w:val="20"/>
          <w:szCs w:val="20"/>
        </w:rPr>
        <w:t>. č. </w:t>
      </w:r>
      <w:r w:rsidR="004028A4" w:rsidRPr="004028A4">
        <w:rPr>
          <w:rFonts w:ascii="Calibri" w:hAnsi="Calibri" w:cs="Calibri"/>
          <w:b/>
          <w:bCs/>
          <w:sz w:val="20"/>
          <w:szCs w:val="20"/>
        </w:rPr>
        <w:t>CZ.31.2.0/0.0/0.0/23_096/0011597</w:t>
      </w:r>
      <w:r w:rsidR="00B4796D" w:rsidRPr="004028A4">
        <w:rPr>
          <w:rFonts w:ascii="Calibri" w:hAnsi="Calibri" w:cs="Calibri"/>
          <w:sz w:val="20"/>
          <w:szCs w:val="20"/>
        </w:rPr>
        <w:t>,</w:t>
      </w:r>
      <w:r w:rsidR="00B4796D" w:rsidRPr="00B4796D">
        <w:rPr>
          <w:rFonts w:ascii="Calibri" w:hAnsi="Calibri" w:cs="Calibri"/>
          <w:sz w:val="20"/>
          <w:szCs w:val="20"/>
        </w:rPr>
        <w:t xml:space="preserve"> minimálně však do konce roku 2037. Pokud je v českých právních předpisech stanovena lhůta delší, musí ji poskytovatel použít</w:t>
      </w:r>
      <w:r w:rsidR="00B4796D">
        <w:rPr>
          <w:rFonts w:ascii="Calibri" w:hAnsi="Calibri" w:cs="Calibri"/>
          <w:sz w:val="20"/>
          <w:szCs w:val="20"/>
        </w:rPr>
        <w:t>.</w:t>
      </w:r>
    </w:p>
    <w:p w14:paraId="10536331" w14:textId="77777777" w:rsidR="00104657" w:rsidRPr="00DC659D" w:rsidRDefault="00104657" w:rsidP="00E268FE">
      <w:pPr>
        <w:numPr>
          <w:ilvl w:val="0"/>
          <w:numId w:val="12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Prodávající je povinen uvádět povinné prvky publicity podle podmínek strukturálních fondů EU na všech tištěných dokumentech vytvořených v souvislosti s</w:t>
      </w:r>
      <w:r w:rsidR="001B5C44" w:rsidRPr="00DC659D">
        <w:rPr>
          <w:rFonts w:ascii="Calibri" w:hAnsi="Calibri" w:cs="Calibri"/>
          <w:sz w:val="20"/>
          <w:szCs w:val="20"/>
        </w:rPr>
        <w:t> předmětem koupě</w:t>
      </w:r>
      <w:r w:rsidRPr="00DC659D">
        <w:rPr>
          <w:rFonts w:ascii="Calibri" w:hAnsi="Calibri" w:cs="Calibri"/>
          <w:sz w:val="20"/>
          <w:szCs w:val="20"/>
        </w:rPr>
        <w:t xml:space="preserve"> (nevztahuje se na interní účetní dokumentaci apod.). Tyto povinné prvky publicity sdělí a poskytne prodávajícímu na vyžádání kupující.</w:t>
      </w:r>
    </w:p>
    <w:p w14:paraId="6A10FA55" w14:textId="77777777" w:rsidR="00104657" w:rsidRPr="00B52F39" w:rsidRDefault="00104657" w:rsidP="00E268FE">
      <w:pPr>
        <w:numPr>
          <w:ilvl w:val="0"/>
          <w:numId w:val="12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Prodávající je povinen při kontrole poskytnout na vyžádání kontrolnímu orgánu daňovou evidenci v plném rozsahu. </w:t>
      </w:r>
      <w:r w:rsidRPr="00DC659D">
        <w:rPr>
          <w:rFonts w:ascii="Calibri" w:hAnsi="Calibri" w:cs="Calibri"/>
          <w:b/>
          <w:sz w:val="20"/>
          <w:szCs w:val="20"/>
        </w:rPr>
        <w:t>Prodávající je podle ustanovení § 2 písm. e) zákona č. 320/2001 Sb., o finanční kontrole ve</w:t>
      </w:r>
      <w:r w:rsidR="00EE5816">
        <w:rPr>
          <w:rFonts w:ascii="Calibri" w:hAnsi="Calibri" w:cs="Calibri"/>
          <w:b/>
          <w:sz w:val="20"/>
          <w:szCs w:val="20"/>
        </w:rPr>
        <w:t> </w:t>
      </w:r>
      <w:r w:rsidRPr="00DC659D">
        <w:rPr>
          <w:rFonts w:ascii="Calibri" w:hAnsi="Calibri" w:cs="Calibri"/>
          <w:b/>
          <w:sz w:val="20"/>
          <w:szCs w:val="20"/>
        </w:rPr>
        <w:t xml:space="preserve">veřejné správě a o změně některých zákonů (zákon o finanční kontrole), ve znění pozdějších předpisů, </w:t>
      </w:r>
      <w:r w:rsidRPr="00901B60">
        <w:rPr>
          <w:rFonts w:ascii="Calibri" w:hAnsi="Calibri" w:cs="Calibri"/>
          <w:b/>
          <w:sz w:val="20"/>
          <w:szCs w:val="20"/>
        </w:rPr>
        <w:t xml:space="preserve">osobou povinou </w:t>
      </w:r>
      <w:r w:rsidRPr="00B52F39">
        <w:rPr>
          <w:rFonts w:ascii="Calibri" w:hAnsi="Calibri" w:cs="Calibri"/>
          <w:b/>
          <w:color w:val="000000" w:themeColor="text1"/>
          <w:sz w:val="20"/>
          <w:szCs w:val="20"/>
        </w:rPr>
        <w:t>spolupůsobit při výkonu finanční kontroly.</w:t>
      </w:r>
      <w:r w:rsidRPr="00B52F39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</w:p>
    <w:p w14:paraId="28607D2D" w14:textId="6B9EEC93" w:rsidR="009A0A13" w:rsidRPr="00B52F39" w:rsidRDefault="009A0A13" w:rsidP="00E268FE">
      <w:pPr>
        <w:numPr>
          <w:ilvl w:val="0"/>
          <w:numId w:val="12"/>
        </w:numPr>
        <w:tabs>
          <w:tab w:val="clear" w:pos="720"/>
        </w:tabs>
        <w:spacing w:line="276" w:lineRule="auto"/>
        <w:ind w:left="540" w:hanging="54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52F39">
        <w:rPr>
          <w:rFonts w:ascii="Calibri" w:hAnsi="Calibri" w:cs="Calibri"/>
          <w:color w:val="000000" w:themeColor="text1"/>
          <w:sz w:val="20"/>
          <w:szCs w:val="20"/>
        </w:rPr>
        <w:t xml:space="preserve">Prodávající se zavazuje umožnit osobám oprávněným k výkonu kontroly projektu, z něhož je veřejná zakázka hrazena, provést kontrolu dokladů souvisejících s plněním zakázky, a to po dobu nejméně 10 let od ukončení financování </w:t>
      </w:r>
      <w:r w:rsidR="00F93DE8">
        <w:rPr>
          <w:rFonts w:ascii="Calibri" w:hAnsi="Calibri" w:cs="Calibri"/>
          <w:color w:val="000000" w:themeColor="text1"/>
          <w:sz w:val="20"/>
          <w:szCs w:val="20"/>
        </w:rPr>
        <w:t>plnění</w:t>
      </w:r>
      <w:r w:rsidRPr="00B52F39">
        <w:rPr>
          <w:rFonts w:ascii="Calibri" w:hAnsi="Calibri" w:cs="Calibri"/>
          <w:color w:val="000000" w:themeColor="text1"/>
          <w:sz w:val="20"/>
          <w:szCs w:val="20"/>
        </w:rPr>
        <w:t xml:space="preserve"> způsobem, který je v souladu s platnými právními předpisy České republiky a Evropských společenství.</w:t>
      </w:r>
    </w:p>
    <w:p w14:paraId="18AEE936" w14:textId="4C862114" w:rsidR="009A0A13" w:rsidRPr="00B52F39" w:rsidRDefault="009A0A13" w:rsidP="00E268FE">
      <w:pPr>
        <w:numPr>
          <w:ilvl w:val="0"/>
          <w:numId w:val="12"/>
        </w:numPr>
        <w:tabs>
          <w:tab w:val="clear" w:pos="720"/>
        </w:tabs>
        <w:spacing w:line="276" w:lineRule="auto"/>
        <w:ind w:left="540" w:hanging="54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52F39">
        <w:rPr>
          <w:rFonts w:ascii="Calibri" w:hAnsi="Calibri" w:cs="Calibri"/>
          <w:color w:val="000000" w:themeColor="text1"/>
          <w:sz w:val="20"/>
          <w:szCs w:val="20"/>
        </w:rPr>
        <w:t xml:space="preserve">Prodávající je povinen minimálně do konce roku </w:t>
      </w:r>
      <w:r w:rsidR="00681308">
        <w:rPr>
          <w:rFonts w:ascii="Calibri" w:hAnsi="Calibri" w:cs="Calibri"/>
          <w:color w:val="000000" w:themeColor="text1"/>
          <w:sz w:val="20"/>
          <w:szCs w:val="20"/>
        </w:rPr>
        <w:t>2037</w:t>
      </w:r>
      <w:r w:rsidR="00681308" w:rsidRPr="00B52F39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B52F39">
        <w:rPr>
          <w:rFonts w:ascii="Calibri" w:hAnsi="Calibri" w:cs="Calibri"/>
          <w:color w:val="000000" w:themeColor="text1"/>
          <w:sz w:val="20"/>
          <w:szCs w:val="20"/>
        </w:rPr>
        <w:t>poskytovat požadované informace a dokumentaci související s realizací projektu, z něhož je Veřejná zakázka hrazena,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0935897F" w14:textId="77777777" w:rsidR="00393C8E" w:rsidRPr="00DC659D" w:rsidRDefault="00393C8E" w:rsidP="00E268FE">
      <w:pPr>
        <w:numPr>
          <w:ilvl w:val="0"/>
          <w:numId w:val="12"/>
        </w:numPr>
        <w:tabs>
          <w:tab w:val="clear" w:pos="720"/>
        </w:tabs>
        <w:spacing w:line="276" w:lineRule="auto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B52F39">
        <w:rPr>
          <w:rFonts w:ascii="Calibri" w:hAnsi="Calibri" w:cs="Calibri"/>
          <w:color w:val="000000" w:themeColor="text1"/>
          <w:sz w:val="20"/>
          <w:szCs w:val="20"/>
        </w:rPr>
        <w:t xml:space="preserve">Prodávající bere na vědomí, že úhrada ceny za předmět plnění bude provedena s využitím dotačních prostředků, získaných kupujícím a podléhajících kontrole z hlediska vykazování účelnosti jejich čerpání. Prodávající se zavazuje, že kupujícímu </w:t>
      </w:r>
      <w:r w:rsidRPr="00DC659D">
        <w:rPr>
          <w:rFonts w:ascii="Calibri" w:hAnsi="Calibri" w:cs="Calibri"/>
          <w:sz w:val="20"/>
          <w:szCs w:val="20"/>
        </w:rPr>
        <w:t>nahradí veškeré škody a náklady, které mu vzniknou nebo budou muset být vynaloženy, pokud z důvodu porušení této smlouvy prodávajícím vznikne kupujícímu závazek vrátit dotaci nebo její část, poskytnutou na úhradu ceny za předmět plnění, jejímu poskytovateli, a to i včetně penále případně vyměřeného jako důsledek porušení pravidel nakládání s veřejnými prostředky. To platí obdobně, pokud prodávající znemožní řádný výkon kontroly orgánům, oprávněným ke kontrole účelnosti vynaložení dotačních prostředků, resp. nepředloží jimi požadované doklady.</w:t>
      </w:r>
    </w:p>
    <w:p w14:paraId="65E88E8C" w14:textId="77777777" w:rsidR="00104657" w:rsidRPr="00DC659D" w:rsidRDefault="00104657" w:rsidP="00E268FE">
      <w:pPr>
        <w:numPr>
          <w:ilvl w:val="0"/>
          <w:numId w:val="12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Prodávající se zavazuje během plnění smlouvy i po jejím ukončení smlouvy zachovávat mlčenlivost o všech skutečnostech, o kterých se dozví od kupujícího v souvislosti s plněním smlouvy</w:t>
      </w:r>
    </w:p>
    <w:p w14:paraId="25B180A8" w14:textId="77777777" w:rsidR="00104657" w:rsidRPr="00DC659D" w:rsidRDefault="00104657" w:rsidP="00E268FE">
      <w:pPr>
        <w:numPr>
          <w:ilvl w:val="0"/>
          <w:numId w:val="12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Tuto smlouvu lze měnit nebo doplnit pouze dohodou smluvních stran, a to formou</w:t>
      </w:r>
      <w:r w:rsidR="00B54BD5"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>písemného číslovaného dodatku.</w:t>
      </w:r>
    </w:p>
    <w:p w14:paraId="25A160CF" w14:textId="77777777" w:rsidR="00E24DBE" w:rsidRDefault="00104657" w:rsidP="00E268FE">
      <w:pPr>
        <w:numPr>
          <w:ilvl w:val="0"/>
          <w:numId w:val="12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Smluvní strany prohlašují, že si tuto smlouvu přečetly, a že byla ujednána po vzájemném projednání podle jejich svobodné vůle, určitě, vážně a srozumitelně.</w:t>
      </w:r>
    </w:p>
    <w:p w14:paraId="3B0BAC62" w14:textId="77777777" w:rsidR="00E24DBE" w:rsidRPr="00E24DBE" w:rsidRDefault="00E24DBE" w:rsidP="00E268FE">
      <w:pPr>
        <w:numPr>
          <w:ilvl w:val="0"/>
          <w:numId w:val="12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Prodávající</w:t>
      </w:r>
      <w:r w:rsidRPr="00E24DBE">
        <w:rPr>
          <w:rFonts w:ascii="Calibri" w:hAnsi="Calibri" w:cs="Calibri"/>
          <w:sz w:val="20"/>
          <w:szCs w:val="20"/>
        </w:rPr>
        <w:t xml:space="preserve"> se zavazuje k dodržování mezinárodních sankcí Evropské unie, přijatých v souvislosti s ruskou agresí na území Ukrajiny vůči Rusku a Bělorusku, zejména nařízení Rady EU č. 2022/576, nařízení Rady (EU) č. 269/2014 ve spojení s prováděcím nařízením Rady (EU) č. 2022/581, nařízení Rady (EU) č. 208/2014 a nařízení Rady (ES) č. 765/2006 nebo v jejich prospěch (dále jen „mezinárodní sankce EU“).</w:t>
      </w:r>
    </w:p>
    <w:p w14:paraId="49E0F482" w14:textId="77777777" w:rsidR="00802B08" w:rsidRDefault="00802B08" w:rsidP="00E268FE">
      <w:pPr>
        <w:numPr>
          <w:ilvl w:val="0"/>
          <w:numId w:val="12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802B08">
        <w:rPr>
          <w:rFonts w:ascii="Calibri" w:hAnsi="Calibri" w:cs="Calibri"/>
          <w:sz w:val="20"/>
          <w:szCs w:val="20"/>
        </w:rPr>
        <w:t>Smlouva je</w:t>
      </w:r>
      <w:r w:rsidR="001B3BC3">
        <w:rPr>
          <w:rFonts w:ascii="Calibri" w:hAnsi="Calibri" w:cs="Calibri"/>
          <w:sz w:val="20"/>
          <w:szCs w:val="20"/>
        </w:rPr>
        <w:t xml:space="preserve">, v souladu s podmínkami zákona č. 134/2016 Sb., podepsána elektronicky. </w:t>
      </w:r>
    </w:p>
    <w:p w14:paraId="62ABC44E" w14:textId="77777777" w:rsidR="00D10E50" w:rsidRDefault="00D10E50" w:rsidP="00E268FE">
      <w:pPr>
        <w:numPr>
          <w:ilvl w:val="0"/>
          <w:numId w:val="12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10E50">
        <w:rPr>
          <w:rFonts w:ascii="Calibri" w:hAnsi="Calibri" w:cs="Calibri"/>
          <w:sz w:val="20"/>
          <w:szCs w:val="20"/>
        </w:rPr>
        <w:t xml:space="preserve">Smlouva nabývá </w:t>
      </w:r>
      <w:r w:rsidR="001B3BC3">
        <w:rPr>
          <w:rFonts w:ascii="Calibri" w:hAnsi="Calibri" w:cs="Calibri"/>
          <w:sz w:val="20"/>
          <w:szCs w:val="20"/>
        </w:rPr>
        <w:t xml:space="preserve">platnosti dnem podpisu a </w:t>
      </w:r>
      <w:r w:rsidRPr="00D10E50">
        <w:rPr>
          <w:rFonts w:ascii="Calibri" w:hAnsi="Calibri" w:cs="Calibri"/>
          <w:sz w:val="20"/>
          <w:szCs w:val="20"/>
        </w:rPr>
        <w:t xml:space="preserve">účinnosti dnem jejího uveřejnění v registru smluv. Uveřejnění smlouvy v registru smluv provede </w:t>
      </w:r>
      <w:r w:rsidR="0059012F">
        <w:rPr>
          <w:rFonts w:ascii="Calibri" w:hAnsi="Calibri" w:cs="Calibri"/>
          <w:sz w:val="20"/>
          <w:szCs w:val="20"/>
        </w:rPr>
        <w:t>kupující.</w:t>
      </w:r>
      <w:r w:rsidRPr="00D10E50">
        <w:rPr>
          <w:rFonts w:ascii="Calibri" w:hAnsi="Calibri" w:cs="Calibri"/>
          <w:sz w:val="20"/>
          <w:szCs w:val="20"/>
        </w:rPr>
        <w:t xml:space="preserve"> </w:t>
      </w:r>
    </w:p>
    <w:p w14:paraId="7296D0FB" w14:textId="77777777" w:rsidR="00D66C50" w:rsidRPr="00DC659D" w:rsidRDefault="00D66C50" w:rsidP="00E268FE">
      <w:pPr>
        <w:numPr>
          <w:ilvl w:val="0"/>
          <w:numId w:val="12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Nedílnou součástí </w:t>
      </w:r>
      <w:r w:rsidR="00710C82" w:rsidRPr="00DC659D">
        <w:rPr>
          <w:rFonts w:ascii="Calibri" w:hAnsi="Calibri" w:cs="Calibri"/>
          <w:sz w:val="20"/>
          <w:szCs w:val="20"/>
        </w:rPr>
        <w:t xml:space="preserve">této </w:t>
      </w:r>
      <w:r w:rsidRPr="00DC659D">
        <w:rPr>
          <w:rFonts w:ascii="Calibri" w:hAnsi="Calibri" w:cs="Calibri"/>
          <w:sz w:val="20"/>
          <w:szCs w:val="20"/>
        </w:rPr>
        <w:t>smlouvy jsou následující příloh</w:t>
      </w:r>
      <w:r w:rsidR="00387107" w:rsidRPr="00DC659D">
        <w:rPr>
          <w:rFonts w:ascii="Calibri" w:hAnsi="Calibri" w:cs="Calibri"/>
          <w:sz w:val="20"/>
          <w:szCs w:val="20"/>
        </w:rPr>
        <w:t>y</w:t>
      </w:r>
      <w:r w:rsidRPr="00DC659D">
        <w:rPr>
          <w:rFonts w:ascii="Calibri" w:hAnsi="Calibri" w:cs="Calibri"/>
          <w:sz w:val="20"/>
          <w:szCs w:val="20"/>
        </w:rPr>
        <w:t>:</w:t>
      </w:r>
    </w:p>
    <w:p w14:paraId="7177882A" w14:textId="346E1B8A" w:rsidR="00D06868" w:rsidRPr="00D06868" w:rsidRDefault="00D06868" w:rsidP="00D06868">
      <w:pPr>
        <w:spacing w:line="280" w:lineRule="atLeast"/>
        <w:ind w:firstLine="540"/>
        <w:jc w:val="both"/>
        <w:rPr>
          <w:rFonts w:ascii="Calibri" w:hAnsi="Calibri" w:cs="Calibri"/>
          <w:b/>
          <w:sz w:val="20"/>
          <w:szCs w:val="20"/>
        </w:rPr>
      </w:pPr>
      <w:r w:rsidRPr="00D06868">
        <w:rPr>
          <w:rFonts w:ascii="Calibri" w:hAnsi="Calibri" w:cs="Calibri"/>
          <w:b/>
          <w:sz w:val="20"/>
          <w:szCs w:val="20"/>
        </w:rPr>
        <w:t xml:space="preserve">Příloha č. </w:t>
      </w:r>
      <w:r>
        <w:rPr>
          <w:rFonts w:ascii="Calibri" w:hAnsi="Calibri" w:cs="Calibri"/>
          <w:b/>
          <w:sz w:val="20"/>
          <w:szCs w:val="20"/>
        </w:rPr>
        <w:t>1</w:t>
      </w:r>
      <w:r w:rsidRPr="00D06868">
        <w:rPr>
          <w:rFonts w:ascii="Calibri" w:hAnsi="Calibri" w:cs="Calibri"/>
          <w:b/>
          <w:sz w:val="20"/>
          <w:szCs w:val="20"/>
        </w:rPr>
        <w:t xml:space="preserve"> – </w:t>
      </w:r>
      <w:r>
        <w:rPr>
          <w:rFonts w:ascii="Calibri" w:hAnsi="Calibri" w:cs="Calibri"/>
          <w:b/>
          <w:sz w:val="20"/>
          <w:szCs w:val="20"/>
        </w:rPr>
        <w:t>Zadávací dokumentace</w:t>
      </w:r>
    </w:p>
    <w:p w14:paraId="1EDC1590" w14:textId="3F42444F" w:rsidR="00417291" w:rsidRDefault="00D66C50" w:rsidP="002C5DBE">
      <w:pPr>
        <w:spacing w:line="280" w:lineRule="atLeast"/>
        <w:ind w:firstLine="540"/>
        <w:jc w:val="both"/>
        <w:rPr>
          <w:rFonts w:ascii="Calibri" w:hAnsi="Calibri" w:cs="Calibri"/>
          <w:b/>
          <w:sz w:val="20"/>
          <w:szCs w:val="20"/>
        </w:rPr>
      </w:pPr>
      <w:r w:rsidRPr="00DC659D">
        <w:rPr>
          <w:rFonts w:ascii="Calibri" w:hAnsi="Calibri" w:cs="Calibri"/>
          <w:b/>
          <w:sz w:val="20"/>
          <w:szCs w:val="20"/>
        </w:rPr>
        <w:t xml:space="preserve">Příloha č. </w:t>
      </w:r>
      <w:r w:rsidR="00D06868">
        <w:rPr>
          <w:rFonts w:ascii="Calibri" w:hAnsi="Calibri" w:cs="Calibri"/>
          <w:b/>
          <w:sz w:val="20"/>
          <w:szCs w:val="20"/>
        </w:rPr>
        <w:t>2</w:t>
      </w:r>
      <w:r w:rsidRPr="00DC659D">
        <w:rPr>
          <w:rFonts w:ascii="Calibri" w:hAnsi="Calibri" w:cs="Calibri"/>
          <w:b/>
          <w:sz w:val="20"/>
          <w:szCs w:val="20"/>
        </w:rPr>
        <w:t xml:space="preserve"> – Technická specifikace</w:t>
      </w:r>
    </w:p>
    <w:p w14:paraId="6E9E9D3E" w14:textId="77777777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ab/>
        <w:t xml:space="preserve">  </w:t>
      </w:r>
    </w:p>
    <w:p w14:paraId="56033FF2" w14:textId="77777777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Prodávající:</w:t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  <w:t>Kupující:</w:t>
      </w:r>
    </w:p>
    <w:p w14:paraId="55B8FA75" w14:textId="12244302" w:rsidR="00B8382F" w:rsidRDefault="00B8382F" w:rsidP="00B8382F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V …………………dne …………………</w:t>
      </w:r>
      <w:r w:rsidRPr="00DC659D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>V</w:t>
      </w:r>
      <w:r w:rsidR="007C181D">
        <w:rPr>
          <w:rFonts w:ascii="Calibri" w:hAnsi="Calibri" w:cs="Calibri"/>
          <w:sz w:val="20"/>
          <w:szCs w:val="20"/>
        </w:rPr>
        <w:t> </w:t>
      </w:r>
      <w:r w:rsidR="00956BE6">
        <w:rPr>
          <w:rFonts w:ascii="Calibri" w:hAnsi="Calibri" w:cs="Calibri"/>
          <w:sz w:val="20"/>
          <w:szCs w:val="20"/>
        </w:rPr>
        <w:t>Brně</w:t>
      </w:r>
      <w:r w:rsidR="007C181D"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 xml:space="preserve">dne …………………  </w:t>
      </w:r>
    </w:p>
    <w:p w14:paraId="346D48A6" w14:textId="77777777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5F88E297" w14:textId="77777777" w:rsidR="00725E3B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2169B657" w14:textId="77777777" w:rsidR="00B8382F" w:rsidRPr="00DC659D" w:rsidRDefault="00B8382F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6F84E844" w14:textId="77777777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…………………………………</w:t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="007D76A1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>…………………………………</w:t>
      </w:r>
      <w:r w:rsidR="00CB21A0">
        <w:rPr>
          <w:rFonts w:ascii="Calibri" w:hAnsi="Calibri" w:cs="Calibri"/>
          <w:sz w:val="20"/>
          <w:szCs w:val="20"/>
        </w:rPr>
        <w:tab/>
      </w:r>
    </w:p>
    <w:p w14:paraId="58CF6F8A" w14:textId="3E24B8AF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Jméno a Příjmení</w:t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="00956BE6" w:rsidRPr="00956BE6">
        <w:rPr>
          <w:rFonts w:ascii="Calibri" w:hAnsi="Calibri" w:cs="Calibri"/>
          <w:sz w:val="20"/>
          <w:szCs w:val="20"/>
        </w:rPr>
        <w:t>Ing. Jindřich Frič, Ph.D., MBA, ředitel</w:t>
      </w:r>
    </w:p>
    <w:p w14:paraId="28F6DE45" w14:textId="5F6698EE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Funkce</w:t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="00CB21A0">
        <w:rPr>
          <w:rFonts w:ascii="Calibri" w:hAnsi="Calibri" w:cs="Calibri"/>
          <w:sz w:val="20"/>
          <w:szCs w:val="20"/>
        </w:rPr>
        <w:tab/>
      </w:r>
      <w:r w:rsidR="00CB21A0">
        <w:rPr>
          <w:rFonts w:ascii="Calibri" w:hAnsi="Calibri" w:cs="Calibri"/>
          <w:sz w:val="20"/>
          <w:szCs w:val="20"/>
        </w:rPr>
        <w:tab/>
      </w:r>
      <w:r w:rsidR="00CB21A0">
        <w:rPr>
          <w:rFonts w:ascii="Calibri" w:hAnsi="Calibri" w:cs="Calibri"/>
          <w:sz w:val="20"/>
          <w:szCs w:val="20"/>
        </w:rPr>
        <w:tab/>
      </w:r>
      <w:r w:rsidR="00956BE6" w:rsidRPr="00956BE6">
        <w:rPr>
          <w:rFonts w:ascii="Calibri" w:hAnsi="Calibri" w:cs="Calibri"/>
          <w:sz w:val="20"/>
          <w:szCs w:val="20"/>
        </w:rPr>
        <w:t>Centrum dopravního výzkumu, v. v. i.</w:t>
      </w:r>
    </w:p>
    <w:p w14:paraId="21B9CE71" w14:textId="77777777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70318290" w14:textId="77777777" w:rsidR="00B8382F" w:rsidRDefault="00B8382F" w:rsidP="00060DDE">
      <w:pPr>
        <w:spacing w:line="280" w:lineRule="atLeast"/>
        <w:rPr>
          <w:rFonts w:ascii="Calibri" w:hAnsi="Calibri" w:cs="Calibri"/>
          <w:sz w:val="20"/>
          <w:szCs w:val="20"/>
        </w:rPr>
      </w:pPr>
    </w:p>
    <w:p w14:paraId="366AD363" w14:textId="77777777" w:rsidR="007C181D" w:rsidRDefault="00BA283D" w:rsidP="00F7328F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1232B795" w14:textId="3B82699F" w:rsidR="0075035D" w:rsidRDefault="00686C97" w:rsidP="007C181D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86C97">
        <w:rPr>
          <w:rFonts w:asciiTheme="minorHAnsi" w:hAnsiTheme="minorHAnsi" w:cstheme="minorHAnsi"/>
          <w:b/>
          <w:sz w:val="28"/>
          <w:szCs w:val="28"/>
        </w:rPr>
        <w:lastRenderedPageBreak/>
        <w:t xml:space="preserve">Příloha č. </w:t>
      </w:r>
      <w:r w:rsidR="00D06868">
        <w:rPr>
          <w:rFonts w:asciiTheme="minorHAnsi" w:hAnsiTheme="minorHAnsi" w:cstheme="minorHAnsi"/>
          <w:b/>
          <w:sz w:val="28"/>
          <w:szCs w:val="28"/>
        </w:rPr>
        <w:t>2</w:t>
      </w:r>
      <w:r w:rsidRPr="00686C97">
        <w:rPr>
          <w:rFonts w:asciiTheme="minorHAnsi" w:hAnsiTheme="minorHAnsi" w:cstheme="minorHAnsi"/>
          <w:b/>
          <w:sz w:val="28"/>
          <w:szCs w:val="28"/>
        </w:rPr>
        <w:t xml:space="preserve"> – Technická specifikace</w:t>
      </w:r>
    </w:p>
    <w:p w14:paraId="6CEF95AE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>Virtuální a BCM infrastruktura on-premise</w:t>
      </w:r>
    </w:p>
    <w:p w14:paraId="7BC781FE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0"/>
        <w:gridCol w:w="1135"/>
      </w:tblGrid>
      <w:tr w:rsidR="007C2364" w:rsidRPr="007C2364" w14:paraId="49EA5345" w14:textId="77777777" w:rsidTr="007C2364">
        <w:tc>
          <w:tcPr>
            <w:tcW w:w="9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FD2ED6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Obecné požadavky na provedení dodávky</w:t>
            </w:r>
          </w:p>
        </w:tc>
      </w:tr>
      <w:tr w:rsidR="007C2364" w:rsidRPr="007C2364" w14:paraId="654C0E55" w14:textId="77777777" w:rsidTr="007C2364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D896984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Při poskytování plnění bude zajištěno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BA1B28F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7C2364" w:rsidRPr="007C2364" w14:paraId="4FA021CC" w14:textId="77777777" w:rsidTr="007C2364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1CED2C8" w14:textId="27ACE26F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Maximální celková doba realizace (dodávka zboží, implementační práce, akceptační testy, odstranění závad aj.) bude 120 dnů od </w:t>
            </w:r>
            <w:r w:rsidR="00B320FA">
              <w:rPr>
                <w:rFonts w:asciiTheme="minorHAnsi" w:hAnsiTheme="minorHAnsi" w:cstheme="minorHAnsi"/>
                <w:sz w:val="20"/>
                <w:szCs w:val="20"/>
              </w:rPr>
              <w:t>účinnosti</w:t>
            </w: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smlouvy.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6791ED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0885BFD3" w14:textId="77777777" w:rsidTr="007C2364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D3D8233" w14:textId="6D8099A8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Dodávané hardwarové a softwarové produkty získá </w:t>
            </w:r>
            <w:r w:rsidR="00D27392">
              <w:rPr>
                <w:rFonts w:ascii="Calibri" w:hAnsi="Calibri" w:cs="Calibri"/>
                <w:sz w:val="20"/>
                <w:szCs w:val="20"/>
              </w:rPr>
              <w:t xml:space="preserve">prodávající </w:t>
            </w: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legálním způsobem, z oficiálního distribučního kanálu a za podmínek stvrzených výrobcem zařízení.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BB8B85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4F10A570" w14:textId="77777777" w:rsidTr="007C2364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E1CB4AF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Budou dodána pouze originální a nová zařízení.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E4C456F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3C42B902" w14:textId="77777777" w:rsidTr="007C2364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CA7AC1A" w14:textId="22976F41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Veškerá zařízení, software a licence budou dodány do 75 dnů od </w:t>
            </w:r>
            <w:r w:rsidR="00B320FA">
              <w:rPr>
                <w:rFonts w:asciiTheme="minorHAnsi" w:hAnsiTheme="minorHAnsi" w:cstheme="minorHAnsi"/>
                <w:sz w:val="20"/>
                <w:szCs w:val="20"/>
              </w:rPr>
              <w:t>účinnosti</w:t>
            </w: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smlouvy.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82494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349E664C" w14:textId="77777777" w:rsidTr="007C2364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6C057BE" w14:textId="7DEECF26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V databázi výrobce bude </w:t>
            </w:r>
            <w:r w:rsidR="00E574B2">
              <w:rPr>
                <w:rFonts w:asciiTheme="minorHAnsi" w:hAnsiTheme="minorHAnsi" w:cstheme="minorHAnsi"/>
                <w:sz w:val="20"/>
                <w:szCs w:val="20"/>
              </w:rPr>
              <w:t>kupující</w:t>
            </w: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veden jako první uživatel zboží.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F301F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1ECD21F0" w14:textId="77777777" w:rsidTr="007C2364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BC7533E" w14:textId="62A964EE" w:rsidR="007C2364" w:rsidRPr="007C2364" w:rsidRDefault="00D27392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Prodávající </w:t>
            </w:r>
            <w:r w:rsidR="007C2364"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uzavře dohodu o podpoře s výrobcem zařízení tak, aby v případě závady na dodaných zařízeních, kterou není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prodávající </w:t>
            </w:r>
            <w:r w:rsidR="007C2364"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schopen sám odstranit, mohl </w:t>
            </w:r>
            <w:r w:rsidR="00E574B2">
              <w:rPr>
                <w:rFonts w:asciiTheme="minorHAnsi" w:hAnsiTheme="minorHAnsi" w:cstheme="minorHAnsi"/>
                <w:sz w:val="20"/>
                <w:szCs w:val="20"/>
              </w:rPr>
              <w:t>kupující</w:t>
            </w:r>
            <w:r w:rsidR="00E574B2"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2364"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tuto závadu sám eskalovat přímo k výrobci zařízení.  Zároveň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prodávají </w:t>
            </w:r>
            <w:r w:rsidR="007C2364"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zajistí </w:t>
            </w:r>
            <w:r w:rsidR="00E574B2">
              <w:rPr>
                <w:rFonts w:asciiTheme="minorHAnsi" w:hAnsiTheme="minorHAnsi" w:cstheme="minorHAnsi"/>
                <w:sz w:val="20"/>
                <w:szCs w:val="20"/>
              </w:rPr>
              <w:t>kupující</w:t>
            </w:r>
            <w:r w:rsidR="00E574B2"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2364" w:rsidRPr="007C2364">
              <w:rPr>
                <w:rFonts w:asciiTheme="minorHAnsi" w:hAnsiTheme="minorHAnsi" w:cstheme="minorHAnsi"/>
                <w:sz w:val="20"/>
                <w:szCs w:val="20"/>
              </w:rPr>
              <w:t>přístup k dokumentaci výrobce zařízení a znalostní bázi, kterou výrobce v rámci své podpory poskytuje.</w:t>
            </w:r>
          </w:p>
          <w:p w14:paraId="68D13EFF" w14:textId="11B017BF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Pokud není tato služba standardní součástí záruky /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maintenance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pro dané zařízení či software, poskytne ji </w:t>
            </w:r>
            <w:r w:rsidR="00D27392">
              <w:rPr>
                <w:rFonts w:ascii="Calibri" w:hAnsi="Calibri" w:cs="Calibri"/>
                <w:sz w:val="20"/>
                <w:szCs w:val="20"/>
              </w:rPr>
              <w:t xml:space="preserve">prodávající </w:t>
            </w:r>
            <w:r w:rsidR="00E574B2">
              <w:rPr>
                <w:rFonts w:asciiTheme="minorHAnsi" w:hAnsiTheme="minorHAnsi" w:cstheme="minorHAnsi"/>
                <w:sz w:val="20"/>
                <w:szCs w:val="20"/>
              </w:rPr>
              <w:t xml:space="preserve">kupujícímu </w:t>
            </w: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coby součást plnění „rozšířená podpora“.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6AB5C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46C3E68A" w14:textId="77777777" w:rsidTr="007C2364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E9BAAF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Bude doloženo potvrzení od výrobce o určení dodávaného hardware </w:t>
            </w:r>
            <w:r w:rsidRPr="007C23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 software </w:t>
            </w: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pro český trh.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4FA70B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21FCEF2A" w14:textId="77777777" w:rsidTr="007C2364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4701AEA" w14:textId="6B385FC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Pro nahlašování poruch </w:t>
            </w:r>
            <w:r w:rsidR="00D27392">
              <w:rPr>
                <w:rFonts w:ascii="Calibri" w:hAnsi="Calibri" w:cs="Calibri"/>
                <w:sz w:val="20"/>
                <w:szCs w:val="20"/>
              </w:rPr>
              <w:t xml:space="preserve">prodávající </w:t>
            </w: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poskytne kontaktní místo s možností sledování servisních reportů prostřednictvím </w:t>
            </w:r>
            <w:proofErr w:type="gram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Internetu</w:t>
            </w:r>
            <w:proofErr w:type="gram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BC57A9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1E58E7A2" w14:textId="77777777" w:rsidTr="007C2364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F6FDED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Podpora bude v českém/slovenském jazyce, poskytovaná v režimu 7x24 prostřednictvím telefonní linky nebo e-mailem.</w:t>
            </w:r>
          </w:p>
          <w:p w14:paraId="01C4F457" w14:textId="03A9813F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Pokud není podpora 7x24 standardní součástí záruky /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maintenance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pro dané zařízení či software, poskytne ji </w:t>
            </w:r>
            <w:r w:rsidR="00D27392">
              <w:rPr>
                <w:rFonts w:asciiTheme="minorHAnsi" w:hAnsiTheme="minorHAnsi" w:cstheme="minorHAnsi"/>
                <w:sz w:val="20"/>
                <w:szCs w:val="20"/>
              </w:rPr>
              <w:t>prodávající</w:t>
            </w: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74B2">
              <w:rPr>
                <w:rFonts w:asciiTheme="minorHAnsi" w:hAnsiTheme="minorHAnsi" w:cstheme="minorHAnsi"/>
                <w:sz w:val="20"/>
                <w:szCs w:val="20"/>
              </w:rPr>
              <w:t xml:space="preserve">kupujícímu </w:t>
            </w: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coby součást plnění „rozšířená podpora“.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DE686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59C35CBA" w14:textId="77777777" w:rsidTr="007C2364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3BAE7B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Součástí ceny dodávky je požadovaná záruka a podpora na hardware min. 60 měsíců s odezvou NBD (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Next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Business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Day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4458950D" w14:textId="15CFDA3A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Pokud toto nelze získat v rámci</w:t>
            </w:r>
            <w:r w:rsidRPr="007C23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standardní záruky /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maintenance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pro dané zařízení či software, poskytne tuto službu </w:t>
            </w:r>
            <w:r w:rsidR="00D27392">
              <w:rPr>
                <w:rFonts w:asciiTheme="minorHAnsi" w:hAnsiTheme="minorHAnsi" w:cstheme="minorHAnsi"/>
                <w:sz w:val="20"/>
                <w:szCs w:val="20"/>
              </w:rPr>
              <w:t xml:space="preserve">prodávající </w:t>
            </w:r>
            <w:r w:rsidR="00E574B2">
              <w:rPr>
                <w:rFonts w:asciiTheme="minorHAnsi" w:hAnsiTheme="minorHAnsi" w:cstheme="minorHAnsi"/>
                <w:sz w:val="20"/>
                <w:szCs w:val="20"/>
              </w:rPr>
              <w:t xml:space="preserve">kupujícímu </w:t>
            </w: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coby součást plnění „rozšířená podpora“.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5ADC55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2AA3B265" w14:textId="77777777" w:rsidTr="007C2364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6C9401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Rozsah podpory hardwaru bude možno ověřit na stránkách výrobce konkrétně pro daný typ zařízení a konkrétní sériové číslo.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AC50C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119FBDE8" w14:textId="77777777" w:rsidTr="007C2364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4FF86D5" w14:textId="2D9D35C2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V rámci záruční doby garantovaná výměna za produkt ve stejné konfiguraci nebo zprovoznění u </w:t>
            </w:r>
            <w:r w:rsidR="00D27392">
              <w:rPr>
                <w:rFonts w:asciiTheme="minorHAnsi" w:hAnsiTheme="minorHAnsi" w:cstheme="minorHAnsi"/>
                <w:sz w:val="20"/>
                <w:szCs w:val="20"/>
              </w:rPr>
              <w:t>kupujícího</w:t>
            </w: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9E497C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33CC737D" w14:textId="77777777" w:rsidTr="007C2364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845367D" w14:textId="5B2AD04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Během záruční doby nese všechny se servisem spojené náklady </w:t>
            </w:r>
            <w:r w:rsidR="00D27392">
              <w:rPr>
                <w:rFonts w:asciiTheme="minorHAnsi" w:hAnsiTheme="minorHAnsi" w:cstheme="minorHAnsi"/>
                <w:sz w:val="20"/>
                <w:szCs w:val="20"/>
              </w:rPr>
              <w:t>prodávající</w:t>
            </w: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, včetně dopravy, přepravy apod.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2481EA5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5F7C87FB" w14:textId="77777777" w:rsidTr="007C2364">
        <w:tc>
          <w:tcPr>
            <w:tcW w:w="79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5774A3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Součástí ceny dodávky je požadovaná podpora min. 60 měsíců na veškerý software.</w:t>
            </w:r>
          </w:p>
          <w:p w14:paraId="0C661418" w14:textId="12CF52E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Pokud podmínky výrobce daného softwaru vyžadují pro zachování této podpory průběžné plnění dalších podmínek (např. předplatné, subskripce, update licence, Software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Assurance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maintenance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fee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apod.), </w:t>
            </w:r>
            <w:r w:rsidR="00D27392">
              <w:rPr>
                <w:rFonts w:asciiTheme="minorHAnsi" w:hAnsiTheme="minorHAnsi" w:cstheme="minorHAnsi"/>
                <w:sz w:val="20"/>
                <w:szCs w:val="20"/>
              </w:rPr>
              <w:t>prodávající</w:t>
            </w:r>
            <w:r w:rsidR="00D27392"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toto zajistí a poskytne </w:t>
            </w:r>
            <w:r w:rsidR="00D27392">
              <w:rPr>
                <w:rFonts w:asciiTheme="minorHAnsi" w:hAnsiTheme="minorHAnsi" w:cstheme="minorHAnsi"/>
                <w:sz w:val="20"/>
                <w:szCs w:val="20"/>
              </w:rPr>
              <w:t xml:space="preserve">kupujícímu </w:t>
            </w: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coby součást plnění „rozšířená podpora“.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31D8B7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799F05" w14:textId="77777777" w:rsidR="007C2364" w:rsidRPr="007C2364" w:rsidRDefault="007C2364" w:rsidP="007C2364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1FD65FCE" w14:textId="77777777" w:rsid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C07CD9" w14:textId="77777777" w:rsidR="00D06868" w:rsidRDefault="00D06868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159EC2" w14:textId="77777777" w:rsidR="00D06868" w:rsidRPr="007C2364" w:rsidRDefault="00D06868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262545" w14:textId="77777777" w:rsidR="007C2364" w:rsidRPr="007C2364" w:rsidRDefault="007C2364" w:rsidP="00E268FE">
      <w:pPr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3" w:name="_Toc200134377"/>
      <w:r w:rsidRPr="007C2364">
        <w:rPr>
          <w:rFonts w:asciiTheme="minorHAnsi" w:hAnsiTheme="minorHAnsi" w:cstheme="minorHAnsi"/>
          <w:b/>
          <w:bCs/>
          <w:sz w:val="20"/>
          <w:szCs w:val="20"/>
        </w:rPr>
        <w:lastRenderedPageBreak/>
        <w:t>Serverová infrastruktura (</w:t>
      </w:r>
      <w:proofErr w:type="spellStart"/>
      <w:r w:rsidRPr="007C2364">
        <w:rPr>
          <w:rFonts w:asciiTheme="minorHAnsi" w:hAnsiTheme="minorHAnsi" w:cstheme="minorHAnsi"/>
          <w:b/>
          <w:bCs/>
          <w:sz w:val="20"/>
          <w:szCs w:val="20"/>
        </w:rPr>
        <w:t>VMware</w:t>
      </w:r>
      <w:proofErr w:type="spellEnd"/>
      <w:r w:rsidRPr="007C2364">
        <w:rPr>
          <w:rFonts w:asciiTheme="minorHAnsi" w:hAnsiTheme="minorHAnsi" w:cstheme="minorHAnsi"/>
          <w:b/>
          <w:bCs/>
          <w:sz w:val="20"/>
          <w:szCs w:val="20"/>
        </w:rPr>
        <w:t>)</w:t>
      </w:r>
      <w:bookmarkEnd w:id="3"/>
    </w:p>
    <w:p w14:paraId="1870B431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6BD7379" w14:textId="4C0F02E3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 xml:space="preserve">Předmětem plnění jsou fyzické servery, pokrývající současné požadavky </w:t>
      </w:r>
      <w:r w:rsidR="00D27392">
        <w:rPr>
          <w:rFonts w:asciiTheme="minorHAnsi" w:hAnsiTheme="minorHAnsi" w:cstheme="minorHAnsi"/>
          <w:sz w:val="20"/>
          <w:szCs w:val="20"/>
        </w:rPr>
        <w:t>kupujícího</w:t>
      </w:r>
      <w:r w:rsidR="00D27392" w:rsidRPr="007C2364">
        <w:rPr>
          <w:rFonts w:asciiTheme="minorHAnsi" w:hAnsiTheme="minorHAnsi" w:cstheme="minorHAnsi"/>
          <w:sz w:val="20"/>
          <w:szCs w:val="20"/>
        </w:rPr>
        <w:t xml:space="preserve"> </w:t>
      </w:r>
      <w:r w:rsidRPr="007C2364">
        <w:rPr>
          <w:rFonts w:asciiTheme="minorHAnsi" w:hAnsiTheme="minorHAnsi" w:cstheme="minorHAnsi"/>
          <w:sz w:val="20"/>
          <w:szCs w:val="20"/>
        </w:rPr>
        <w:t xml:space="preserve">i předpokládané budoucí požadavky </w:t>
      </w:r>
      <w:r w:rsidR="00D27392">
        <w:rPr>
          <w:rFonts w:asciiTheme="minorHAnsi" w:hAnsiTheme="minorHAnsi" w:cstheme="minorHAnsi"/>
          <w:sz w:val="20"/>
          <w:szCs w:val="20"/>
        </w:rPr>
        <w:t>kupujícího</w:t>
      </w:r>
      <w:r w:rsidR="00D27392" w:rsidRPr="007C2364">
        <w:rPr>
          <w:rFonts w:asciiTheme="minorHAnsi" w:hAnsiTheme="minorHAnsi" w:cstheme="minorHAnsi"/>
          <w:sz w:val="20"/>
          <w:szCs w:val="20"/>
        </w:rPr>
        <w:t xml:space="preserve"> </w:t>
      </w:r>
      <w:r w:rsidRPr="007C2364">
        <w:rPr>
          <w:rFonts w:asciiTheme="minorHAnsi" w:hAnsiTheme="minorHAnsi" w:cstheme="minorHAnsi"/>
          <w:sz w:val="20"/>
          <w:szCs w:val="20"/>
        </w:rPr>
        <w:t xml:space="preserve">po dobu trvání záruky a podpory. Servery budou virtualizované pomocí řešení 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VMware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 xml:space="preserve"> (není předmětem dodávky) a budou na nich v režimu vysoké dostupnosti provozovány centrální informační systémy </w:t>
      </w:r>
      <w:r w:rsidR="00D27392">
        <w:rPr>
          <w:rFonts w:asciiTheme="minorHAnsi" w:hAnsiTheme="minorHAnsi" w:cstheme="minorHAnsi"/>
          <w:sz w:val="20"/>
          <w:szCs w:val="20"/>
        </w:rPr>
        <w:t>kupujícího</w:t>
      </w:r>
      <w:r w:rsidR="00D27392" w:rsidRPr="007C2364">
        <w:rPr>
          <w:rFonts w:asciiTheme="minorHAnsi" w:hAnsiTheme="minorHAnsi" w:cstheme="minorHAnsi"/>
          <w:sz w:val="20"/>
          <w:szCs w:val="20"/>
        </w:rPr>
        <w:t xml:space="preserve"> </w:t>
      </w:r>
      <w:r w:rsidRPr="007C2364">
        <w:rPr>
          <w:rFonts w:asciiTheme="minorHAnsi" w:hAnsiTheme="minorHAnsi" w:cstheme="minorHAnsi"/>
          <w:sz w:val="20"/>
          <w:szCs w:val="20"/>
        </w:rPr>
        <w:t>a systémy na platformě MS Windows.</w:t>
      </w:r>
    </w:p>
    <w:p w14:paraId="1D03C13A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188080" w14:textId="3A52D529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 xml:space="preserve">Plnění zahrnuje tři shodné, vzájemně zastupitelné servery v konfiguraci podporované výrobci řešení 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VMware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 xml:space="preserve"> a operačního systému MS Windows Server. Z důvodu snazší správy a za účelem minimalizace rizika porušení licenčních podmínek při dlouhodobém provozu požaduje </w:t>
      </w:r>
      <w:r w:rsidR="00D27392">
        <w:rPr>
          <w:rFonts w:asciiTheme="minorHAnsi" w:hAnsiTheme="minorHAnsi" w:cstheme="minorHAnsi"/>
          <w:sz w:val="20"/>
          <w:szCs w:val="20"/>
        </w:rPr>
        <w:t>kupující</w:t>
      </w:r>
      <w:r w:rsidRPr="007C2364">
        <w:rPr>
          <w:rFonts w:asciiTheme="minorHAnsi" w:hAnsiTheme="minorHAnsi" w:cstheme="minorHAnsi"/>
          <w:sz w:val="20"/>
          <w:szCs w:val="20"/>
        </w:rPr>
        <w:t xml:space="preserve">, aby hardwarová konfigurace serverů dodaných pro 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VMware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 xml:space="preserve"> infrastrukturu dle tohoto bodu byla totožná s konfigurací serverů určených pro infrastrukturu 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Proxmox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>, uvedenou v následujícím bodu.</w:t>
      </w:r>
    </w:p>
    <w:p w14:paraId="2B066B58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50D554" w14:textId="5D411CD0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 xml:space="preserve">Současně </w:t>
      </w:r>
      <w:r w:rsidR="00D27392">
        <w:rPr>
          <w:rFonts w:asciiTheme="minorHAnsi" w:hAnsiTheme="minorHAnsi" w:cstheme="minorHAnsi"/>
          <w:sz w:val="20"/>
          <w:szCs w:val="20"/>
        </w:rPr>
        <w:t xml:space="preserve">kupující </w:t>
      </w:r>
      <w:r w:rsidRPr="007C2364">
        <w:rPr>
          <w:rFonts w:asciiTheme="minorHAnsi" w:hAnsiTheme="minorHAnsi" w:cstheme="minorHAnsi"/>
          <w:sz w:val="20"/>
          <w:szCs w:val="20"/>
        </w:rPr>
        <w:t>požaduje, aby bylo možné všechny servery dodané v rámci této veřejné zakázky připojit pod jeden unifikovaný nástroj pro správu a dohled hardwaru. Vyžaduje-li splnění tohoto požadavku separátní licenci, musí být tato součástí poskytnutého plnění.</w:t>
      </w:r>
    </w:p>
    <w:p w14:paraId="2814C07F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F299ED4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>Jeden každý server musí splňovat následující minimální technické požadavky:</w:t>
      </w:r>
    </w:p>
    <w:p w14:paraId="3ABF0AED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0"/>
        <w:gridCol w:w="1135"/>
      </w:tblGrid>
      <w:tr w:rsidR="007C2364" w:rsidRPr="007C2364" w14:paraId="47118CF7" w14:textId="77777777" w:rsidTr="004F4E49"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E12ECC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Serverová infrastruktura (</w:t>
            </w:r>
            <w:proofErr w:type="spellStart"/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VMware</w:t>
            </w:r>
            <w:proofErr w:type="spellEnd"/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 (3 ks)</w:t>
            </w:r>
          </w:p>
        </w:tc>
      </w:tr>
      <w:tr w:rsidR="007C2364" w:rsidRPr="007C2364" w14:paraId="1AFF8762" w14:textId="77777777" w:rsidTr="004F4E49">
        <w:tc>
          <w:tcPr>
            <w:tcW w:w="90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759CC4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Výrobce:</w:t>
            </w:r>
          </w:p>
        </w:tc>
      </w:tr>
      <w:tr w:rsidR="007C2364" w:rsidRPr="007C2364" w14:paraId="17C43E25" w14:textId="77777777" w:rsidTr="004F4E49"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7F9732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Model:</w:t>
            </w:r>
          </w:p>
        </w:tc>
      </w:tr>
      <w:tr w:rsidR="007C2364" w:rsidRPr="007C2364" w14:paraId="76CD4FC7" w14:textId="77777777" w:rsidTr="004F4E49"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E90DF24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P/N:</w:t>
            </w:r>
          </w:p>
        </w:tc>
      </w:tr>
      <w:tr w:rsidR="004F4E49" w:rsidRPr="007C2364" w14:paraId="3CB3CB0E" w14:textId="77777777" w:rsidTr="004F4E49"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CC7EBF5" w14:textId="01E3A970" w:rsidR="004F4E49" w:rsidRPr="007C2364" w:rsidRDefault="004F4E49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Cena:</w:t>
            </w:r>
          </w:p>
        </w:tc>
      </w:tr>
      <w:tr w:rsidR="007C2364" w:rsidRPr="007C2364" w14:paraId="3E88F293" w14:textId="77777777" w:rsidTr="004F4E49">
        <w:tc>
          <w:tcPr>
            <w:tcW w:w="7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D7A6E1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Technický parametr / Funkce a jeho požadovaná minimální hodnota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CDF533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7C2364" w:rsidRPr="007C2364" w14:paraId="07241C24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6CEB9B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Rackový server, provedení do 19" skříně, velikost 1U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3B73975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4A4AEB7C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F58545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2x CPU, každý 16 fyzických jader (32 fyzických jader na server celkem z důvodu licencování OS MS Windows Server Datacenter) s minimální hodnotou CPU Mark 45000. Hodnoty musí být uvedené na stránkách cpubenhcmark.net</w:t>
            </w:r>
          </w:p>
          <w:p w14:paraId="4AA951F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Minimální základní frekvence 2,8GHz</w:t>
            </w:r>
          </w:p>
          <w:p w14:paraId="5CBA7D4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Příkon na CPU do </w:t>
            </w:r>
            <w:proofErr w:type="gram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195W</w:t>
            </w:r>
            <w:proofErr w:type="gram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9659D2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18CDF99D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738D9E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V případě, že bude nabídnuta konfigurace s více než 16 jádry na jeden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socket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, musí být součástí dodávky odpovídající počet licencí Windows Server (edice Datacenter), které pokrývají počet jader přesahujících 16 jader na jeden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socket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, nebo více než 1 CPU. Toto omezení vychází z licenčních podmínek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výrobc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</w:t>
            </w: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produkt</w:t>
            </w:r>
            <w:r w:rsidRPr="007C23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</w:t>
            </w: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Windows Server.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B0B3A7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07591531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0EDB97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Minimálně 256 GB, DDR5 s frekvencí minimálně 5600 MHz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F1551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617667D6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F8EAC2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Možnost osadit SSD disky M.2 NVME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F6E31B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496B10EC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67A709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Úložiště pro Hypervisor – 2x M.2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SSD v HW RAID1 min. </w:t>
            </w:r>
            <w:proofErr w:type="gram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960GB</w:t>
            </w:r>
            <w:proofErr w:type="gram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23DD6E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5516397B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B750ADF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Min. 2x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dual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-port karta FC s min. 32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Gb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porty včetně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multimódových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převodníků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2EDE6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74C16BFA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0A80264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Min. 2x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dual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portová karta 10/25Gb, včetně 4 ks SFP+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70A6F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201DEEDA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B583C6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Management port 1Gb včetně licence na management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311E22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796775EC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760DE4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2x plně redundantní hot swap zdroje. Zdroje musí splňovat požadavky na certifikaci energetické účinnosti, minimálně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Titanium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, popř. je nutno doložit, že mají při napětí 230V účinnost min. </w:t>
            </w:r>
            <w:proofErr w:type="gram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96%</w:t>
            </w:r>
            <w:proofErr w:type="gram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3B8B9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2A389C44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123DCE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Kompatibilita s 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vSphere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7 a 8 a s aktuální vyšší verzí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minimálně po dobu servisní podpory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7DED25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67A08AB7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8CFA0D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Musí umožňovat optimalizaci výkonu serveru v závislosti na zvoleném druhu zátěže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5929A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79583CD1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4F68984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SW nezávislá vzdálená správa umožňující vzdálené zapnutí a vypnutí serveru, virtuální KVM a virtuální media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1064A2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3CCB6858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9221F0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Přehled stavu systému a důležitých bezpečnostních funkcí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D0D282F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66EC0FCD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26EC69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Možnost uzamknutí konfigurace serveru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C49745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1DCF01AD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9270E3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Podpora UEFI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Secure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Boot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A59B05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124BB9F0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9801E4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TPM čip min 2.0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16F1E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780F6DC0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E28DF6F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Možnost odrolování na předchozí firmware /obnova při jeho kompromitaci za běhu serveru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110AED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08D410F6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2F2593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Certifikát zabraňující výměně komponent během dodávky i během následného provozu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6543DD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07C1785D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A9B60E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Možnost detekce otevření chassis serveru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E1F00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7D897FE0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433300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Zadavatel požaduje z důvodu vzájemné kompatibility dodávku všech serverů od jednoho výrobce a všechny CPU stejné generace.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AC61E6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5EF391CE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EFBBD7F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>Možnost správy více serverů z jedné management konzole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AA1743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6A619A9F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12D7E6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Ostatní požadavky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95704D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7C2364" w:rsidRPr="007C2364" w14:paraId="6776614A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D75C2E4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Zadavatel požaduje ke všem síťovým kartám, kterými budou servery osazeny, dodat příslušné 10Gbit SFP+ moduly včetně kabeláže (min. délka </w:t>
            </w:r>
            <w:proofErr w:type="gram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2m</w:t>
            </w:r>
            <w:proofErr w:type="gram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) nebo DAC kabely (min. délka </w:t>
            </w:r>
            <w:proofErr w:type="gram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2m</w:t>
            </w:r>
            <w:proofErr w:type="gram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9C28BB4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6D46E782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37F391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Zadavatel požaduje ke všem FC kartám, kterými budou servery osazeny, dodat příslušné výrobcem podporované 32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Gbit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FC MM SFP moduly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2BED03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4C983738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42C470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Všechna zařízení musí být dodány včetně příslušenství pro montáž do 19“ skříně (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rail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kit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cable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management) a včetně napájecích kabelů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AE08E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6C972CB1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68B4D1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Záruční podmínky a minimální požadovaný rozsah záruky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91A2F5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7C2364" w:rsidRPr="007C2364" w14:paraId="3177AE72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E9A677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Záruka min. 5 roků NBD on-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site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47FAF6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77452825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76C2A9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Všechny servery budou od jednoho výrobce stejného typu z důvodu zajištění maximální kompatibility a jednotného servisního místa a managementu.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BAA171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4B743073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321FC44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Prodávající prohlašuje, že severy a příslušenství jsou určeny k prodeji na českém trhu, jsou nové, nepoužité.</w:t>
            </w:r>
          </w:p>
          <w:p w14:paraId="39D79B0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Parametry serveru a záruka bude ověřena na veřejně dostupných webových stránkách výrobce v den dodání zboží.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F639C6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73907B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7A9D51" w14:textId="1B7D74FE" w:rsidR="007C2364" w:rsidRPr="007C2364" w:rsidRDefault="00D27392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Prodávající </w:t>
      </w:r>
      <w:r w:rsidR="007C2364" w:rsidRPr="007C2364">
        <w:rPr>
          <w:rFonts w:asciiTheme="minorHAnsi" w:hAnsiTheme="minorHAnsi" w:cstheme="minorHAnsi"/>
          <w:sz w:val="20"/>
          <w:szCs w:val="20"/>
        </w:rPr>
        <w:t>specifikuje výrobce, model, P/N.</w:t>
      </w:r>
    </w:p>
    <w:p w14:paraId="51F21613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>Dále uvede, jestli splňuje požadavky (ano / ne) a popíše, jakým způsobem.</w:t>
      </w:r>
    </w:p>
    <w:p w14:paraId="4F45B516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040F332" w14:textId="77777777" w:rsidR="007C2364" w:rsidRPr="007C2364" w:rsidRDefault="007C2364" w:rsidP="00E268FE">
      <w:pPr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C2364">
        <w:rPr>
          <w:rFonts w:asciiTheme="minorHAnsi" w:hAnsiTheme="minorHAnsi" w:cstheme="minorHAnsi"/>
          <w:b/>
          <w:bCs/>
          <w:sz w:val="20"/>
          <w:szCs w:val="20"/>
        </w:rPr>
        <w:t>Serverová infrastruktura (</w:t>
      </w:r>
      <w:proofErr w:type="spellStart"/>
      <w:r w:rsidRPr="007C2364">
        <w:rPr>
          <w:rFonts w:asciiTheme="minorHAnsi" w:hAnsiTheme="minorHAnsi" w:cstheme="minorHAnsi"/>
          <w:b/>
          <w:bCs/>
          <w:sz w:val="20"/>
          <w:szCs w:val="20"/>
        </w:rPr>
        <w:t>Proxmox</w:t>
      </w:r>
      <w:proofErr w:type="spellEnd"/>
      <w:r w:rsidRPr="007C2364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16BE95B7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8824B13" w14:textId="7C889E50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 xml:space="preserve">Předmětem plnění jsou fyzické servery, pokrývající současné požadavky </w:t>
      </w:r>
      <w:r w:rsidR="00D27392">
        <w:rPr>
          <w:rFonts w:asciiTheme="minorHAnsi" w:hAnsiTheme="minorHAnsi" w:cstheme="minorHAnsi"/>
          <w:sz w:val="20"/>
          <w:szCs w:val="20"/>
        </w:rPr>
        <w:t>kupujícího</w:t>
      </w:r>
      <w:r w:rsidR="00D27392" w:rsidRPr="007C2364">
        <w:rPr>
          <w:rFonts w:asciiTheme="minorHAnsi" w:hAnsiTheme="minorHAnsi" w:cstheme="minorHAnsi"/>
          <w:sz w:val="20"/>
          <w:szCs w:val="20"/>
        </w:rPr>
        <w:t xml:space="preserve"> </w:t>
      </w:r>
      <w:r w:rsidRPr="007C2364">
        <w:rPr>
          <w:rFonts w:asciiTheme="minorHAnsi" w:hAnsiTheme="minorHAnsi" w:cstheme="minorHAnsi"/>
          <w:sz w:val="20"/>
          <w:szCs w:val="20"/>
        </w:rPr>
        <w:t xml:space="preserve">i předpokládané budoucí požadavky </w:t>
      </w:r>
      <w:r w:rsidR="00D27392">
        <w:rPr>
          <w:rFonts w:asciiTheme="minorHAnsi" w:hAnsiTheme="minorHAnsi" w:cstheme="minorHAnsi"/>
          <w:sz w:val="20"/>
          <w:szCs w:val="20"/>
        </w:rPr>
        <w:t>kupujícího</w:t>
      </w:r>
      <w:r w:rsidR="00D27392" w:rsidRPr="007C2364">
        <w:rPr>
          <w:rFonts w:asciiTheme="minorHAnsi" w:hAnsiTheme="minorHAnsi" w:cstheme="minorHAnsi"/>
          <w:sz w:val="20"/>
          <w:szCs w:val="20"/>
        </w:rPr>
        <w:t xml:space="preserve"> </w:t>
      </w:r>
      <w:r w:rsidRPr="007C2364">
        <w:rPr>
          <w:rFonts w:asciiTheme="minorHAnsi" w:hAnsiTheme="minorHAnsi" w:cstheme="minorHAnsi"/>
          <w:sz w:val="20"/>
          <w:szCs w:val="20"/>
        </w:rPr>
        <w:t xml:space="preserve">po dobu trvání záruky a podpory. Servery budou virtualizované pomocí řešení 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Proxmox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 xml:space="preserve"> a budou na nich v režimu vysoké dostupnosti provozovány centrální systémy, bezpečnostní systémy, vývojová prostředí a další podpůrné technické prostředky </w:t>
      </w:r>
      <w:r w:rsidR="00D27392">
        <w:rPr>
          <w:rFonts w:asciiTheme="minorHAnsi" w:hAnsiTheme="minorHAnsi" w:cstheme="minorHAnsi"/>
          <w:sz w:val="20"/>
          <w:szCs w:val="20"/>
        </w:rPr>
        <w:t>kupujícího</w:t>
      </w:r>
      <w:r w:rsidRPr="007C2364">
        <w:rPr>
          <w:rFonts w:asciiTheme="minorHAnsi" w:hAnsiTheme="minorHAnsi" w:cstheme="minorHAnsi"/>
          <w:sz w:val="20"/>
          <w:szCs w:val="20"/>
        </w:rPr>
        <w:t>.</w:t>
      </w:r>
    </w:p>
    <w:p w14:paraId="2986D738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FB457A" w14:textId="6149B834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 xml:space="preserve">Plnění zahrnuje tři shodné, vzájemně zastupitelné servery. Z důvodu snazší správy a za účelem minimalizace rizika porušení licenčních podmínek při dlouhodobém provozu požaduje </w:t>
      </w:r>
      <w:r w:rsidR="00D27392">
        <w:rPr>
          <w:rFonts w:asciiTheme="minorHAnsi" w:hAnsiTheme="minorHAnsi" w:cstheme="minorHAnsi"/>
          <w:sz w:val="20"/>
          <w:szCs w:val="20"/>
        </w:rPr>
        <w:t>kupující</w:t>
      </w:r>
      <w:r w:rsidRPr="007C2364">
        <w:rPr>
          <w:rFonts w:asciiTheme="minorHAnsi" w:hAnsiTheme="minorHAnsi" w:cstheme="minorHAnsi"/>
          <w:sz w:val="20"/>
          <w:szCs w:val="20"/>
        </w:rPr>
        <w:t xml:space="preserve">, aby hardwarová konfigurace serverů dodaných pro 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Proxmox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 xml:space="preserve"> infrastrukturu dle tohoto bodu byla totožná s konfigurací serverů určených pro 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VMware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 xml:space="preserve"> infrastrukturu, uvedenou v předchozím bodu.</w:t>
      </w:r>
    </w:p>
    <w:p w14:paraId="26A533C3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BF7C89" w14:textId="701EFA6E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 xml:space="preserve">Současně </w:t>
      </w:r>
      <w:r w:rsidR="00D27392">
        <w:rPr>
          <w:rFonts w:asciiTheme="minorHAnsi" w:hAnsiTheme="minorHAnsi" w:cstheme="minorHAnsi"/>
          <w:sz w:val="20"/>
          <w:szCs w:val="20"/>
        </w:rPr>
        <w:t xml:space="preserve">kupující </w:t>
      </w:r>
      <w:r w:rsidRPr="007C2364">
        <w:rPr>
          <w:rFonts w:asciiTheme="minorHAnsi" w:hAnsiTheme="minorHAnsi" w:cstheme="minorHAnsi"/>
          <w:sz w:val="20"/>
          <w:szCs w:val="20"/>
        </w:rPr>
        <w:t>požaduje, aby bylo možné všechny servery dodané v rámci této veřejné zakázky připojit pod jeden unifikovaný nástroj pro správu a dohled hardwaru. Vyžaduje-li splnění tohoto požadavku separátní licenci, musí být tato součástí poskytnutého plnění.</w:t>
      </w:r>
    </w:p>
    <w:p w14:paraId="0F194C32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88CC506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>Jeden každý server musí splňovat následující minimální technické požadavky:</w:t>
      </w:r>
    </w:p>
    <w:p w14:paraId="2B6F4D20" w14:textId="77777777" w:rsidR="007C2364" w:rsidRPr="007C2364" w:rsidRDefault="007C2364" w:rsidP="007C236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0"/>
        <w:gridCol w:w="1135"/>
      </w:tblGrid>
      <w:tr w:rsidR="007C2364" w:rsidRPr="007C2364" w14:paraId="4479587C" w14:textId="77777777" w:rsidTr="004F4E49"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7EE853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Serverová infrastruktura (</w:t>
            </w:r>
            <w:proofErr w:type="spellStart"/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Proxmox</w:t>
            </w:r>
            <w:proofErr w:type="spellEnd"/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 (3 ks)</w:t>
            </w:r>
          </w:p>
        </w:tc>
      </w:tr>
      <w:tr w:rsidR="007C2364" w:rsidRPr="007C2364" w14:paraId="2242B798" w14:textId="77777777" w:rsidTr="004F4E49">
        <w:tc>
          <w:tcPr>
            <w:tcW w:w="90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E446E2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Výrobce:</w:t>
            </w:r>
          </w:p>
        </w:tc>
      </w:tr>
      <w:tr w:rsidR="007C2364" w:rsidRPr="007C2364" w14:paraId="6EEAD992" w14:textId="77777777" w:rsidTr="004F4E49"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48A0B9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Model:</w:t>
            </w:r>
          </w:p>
        </w:tc>
      </w:tr>
      <w:tr w:rsidR="007C2364" w:rsidRPr="007C2364" w14:paraId="0199531B" w14:textId="77777777" w:rsidTr="004F4E49"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2A9A7D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P/N:</w:t>
            </w:r>
          </w:p>
        </w:tc>
      </w:tr>
      <w:tr w:rsidR="004F4E49" w:rsidRPr="007C2364" w14:paraId="39912EAB" w14:textId="77777777" w:rsidTr="004F4E49"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CA74F11" w14:textId="773895AB" w:rsidR="004F4E49" w:rsidRPr="007C2364" w:rsidRDefault="004F4E49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Cena:</w:t>
            </w:r>
          </w:p>
        </w:tc>
      </w:tr>
      <w:tr w:rsidR="007C2364" w:rsidRPr="007C2364" w14:paraId="169FDE4A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215DE6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Technický parametr / Funkce a jeho požadovaná minimální hodnota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C027DC5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7C2364" w:rsidRPr="007C2364" w14:paraId="6CA0E0D6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E1F69B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Rackový server, provedení do 19" skříně, velikost 1U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626769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1C3B51ED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2DE6B5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2x CPU, každý 16 fyzických jader (32 fyzických jader na server celkem) s minimální hodnotou CPU Mark 45000.</w:t>
            </w:r>
          </w:p>
          <w:p w14:paraId="59C92E0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Hodnoty musí být uvedené na stránkách cpubenhcmark.net</w:t>
            </w:r>
          </w:p>
          <w:p w14:paraId="15F82774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Minimální základní frekvence 2,8GHz</w:t>
            </w:r>
          </w:p>
          <w:p w14:paraId="6C0E3D3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Příkon na CPU do </w:t>
            </w:r>
            <w:proofErr w:type="gram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195W</w:t>
            </w:r>
            <w:proofErr w:type="gram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95064E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1EFEC696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AC2B58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Minimálně 256 GB, DDR5 s frekvencí minimálně 5600 MHz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ABA0FD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7D9B55F2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F15184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Možnost osadit SSD disky M.2 NVME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51F11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13710B0E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B3D2D8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Úložiště pro Hypervisor – 2x M.2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SSD v HW RAID1 min. </w:t>
            </w:r>
            <w:proofErr w:type="gram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960GB</w:t>
            </w:r>
            <w:proofErr w:type="gram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07B32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77FB76AA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2C1E5C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Min. 2x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dual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-port karta FC s min. 32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Gb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porty včetně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multimódových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převodníků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39937B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53F86250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5045C6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Min. 2x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dual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portová karta 10/25Gb, včetně 4 ks SFP+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358E29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2F0125F7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AE07325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Management port 1Gb včetně licence na management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FAE5BB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520BF60D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A1A4E3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2x plně redundantní hot swap zdroje. Zdroje musí splňovat požadavky na certifikaci energetické účinnosti, minimálně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Titanium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, popř. je nutno doložit, že mají při napětí 230V účinnost min. </w:t>
            </w:r>
            <w:proofErr w:type="gram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96%</w:t>
            </w:r>
            <w:proofErr w:type="gram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36A95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28A69BA3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FEB437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Kompatibilita s 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Proxmox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VE 8.4 (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stable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) nebo s vyšší stabilní verzí, aktuální v době podání nabídky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86FD0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3E194B26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AAD93CF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Musí umožňovat optimalizaci výkonu serveru v závislosti na zvoleném druhu zátěže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00C2CA4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19CA50DA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B64B3C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SW nezávislá vzdálená správa umožňující vzdálené zapnutí a vypnutí serveru, virtuální KVM a virtuální media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152351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31195580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18C6AD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Přehled stavu systému a důležitých bezpečnostních funkcí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2EBF4C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01F36BEF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3F1D61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Možnost uzamknutí konfigurace serveru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B01A7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175370D3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28069D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Podpora UEFI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Secure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Boot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3686765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41BF5A79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71C0E0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TPM čip min 2.0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A53891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021807E3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4FEBE5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Možnost odrolování na předchozí firmware /obnova při jeho kompromitaci za běhu serveru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BD98034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51B48444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EF33D65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Certifikát zabraňující výměně komponent během dodávky i během následného provozu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48732C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74C9117E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542FB7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Možnost detekce otevření chassis serveru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B6117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746BD864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0B0F40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Zadavatel požaduje z důvodu vzájemné kompatibility dodávku všech serverů od jednoho výrobce a všechny CPU stejné generace.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F8D8D1F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2394DF28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859778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>Možnost správy více serverů z jedné management konzole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B4B51F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3CCC028A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141B44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Ostatní požadavky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0AD20B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7C2364" w:rsidRPr="007C2364" w14:paraId="0BC1CCD6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98A32AF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Zadavatel požaduje ke všem síťovým kartám, kterými budou servery osazeny, dodat příslušné 10Gbit SFP+ moduly včetně kabeláže (min. délka </w:t>
            </w:r>
            <w:proofErr w:type="gram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2m</w:t>
            </w:r>
            <w:proofErr w:type="gram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) nebo DAC kabely (min. délka </w:t>
            </w:r>
            <w:proofErr w:type="gram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2m</w:t>
            </w:r>
            <w:proofErr w:type="gram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C7598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50273404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4DBE3D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Zadavatel požaduje ke všem FC kartám, kterými budou servery osazeny, dodat příslušné výrobcem podporované 32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Gbit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FC MM SFP moduly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C08E7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285BBB93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B0358C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Všechna zařízení musí být dodány včetně příslušenství pro montáž do 19“ skříně (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rail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kit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cable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management) a včetně napájecích kabelů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72275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0B861392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237CC1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Záruční podmínky a minimální požadovaný rozsah záruky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19E935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7C2364" w:rsidRPr="007C2364" w14:paraId="0220E68E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1A981A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Záruka min. 5 roků NBD on-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site</w:t>
            </w:r>
            <w:proofErr w:type="spellEnd"/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DFFE05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7671C389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33975C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Všechny servery budou od jednoho výrobce stejného typu z důvodu zajištění maximální kompatibility a jednotného servisního místa a managementu.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693DB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30B89D2D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5675D1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Prodávající prohlašuje, že severy a příslušenství jsou určeny k prodeji na českém trhu, jsou nové, nepoužité.</w:t>
            </w:r>
          </w:p>
          <w:p w14:paraId="696B6B8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Parametry serveru a záruka bude ověřena na veřejně dostupných webových stránkách výrobce v den dodání zboží.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9085BD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5729F2A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50E39B" w14:textId="12941790" w:rsidR="007C2364" w:rsidRPr="007C2364" w:rsidRDefault="00D27392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Prodávající </w:t>
      </w:r>
      <w:r w:rsidR="007C2364" w:rsidRPr="007C2364">
        <w:rPr>
          <w:rFonts w:asciiTheme="minorHAnsi" w:hAnsiTheme="minorHAnsi" w:cstheme="minorHAnsi"/>
          <w:sz w:val="20"/>
          <w:szCs w:val="20"/>
        </w:rPr>
        <w:t>specifikuje výrobce, model, P/N.</w:t>
      </w:r>
    </w:p>
    <w:p w14:paraId="7F386083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>Dále uvede, jestli splňuje požadavky (ano / ne) a popíše, jakým způsobem.</w:t>
      </w:r>
    </w:p>
    <w:p w14:paraId="30DB6C10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CCD7FFF" w14:textId="77777777" w:rsidR="007C2364" w:rsidRPr="007C2364" w:rsidRDefault="007C2364" w:rsidP="00E268FE">
      <w:pPr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C2364">
        <w:rPr>
          <w:rFonts w:asciiTheme="minorHAnsi" w:hAnsiTheme="minorHAnsi" w:cstheme="minorHAnsi"/>
          <w:b/>
          <w:bCs/>
          <w:sz w:val="20"/>
          <w:szCs w:val="20"/>
        </w:rPr>
        <w:t xml:space="preserve">Licence </w:t>
      </w:r>
      <w:bookmarkStart w:id="4" w:name="_Toc200134384"/>
      <w:r w:rsidRPr="007C2364">
        <w:rPr>
          <w:rFonts w:asciiTheme="minorHAnsi" w:hAnsiTheme="minorHAnsi" w:cstheme="minorHAnsi"/>
          <w:b/>
          <w:bCs/>
          <w:sz w:val="20"/>
          <w:szCs w:val="20"/>
        </w:rPr>
        <w:t>Microsoft Windows Server</w:t>
      </w:r>
      <w:bookmarkEnd w:id="4"/>
    </w:p>
    <w:p w14:paraId="22B43FD7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01EBA6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>Předmětem plnění je licenční pokrytí operačních systémů MS Windows, provozovaných na hypervisorech serverové infrastruktury (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VMware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>) dle výše uvedené specifikace.</w:t>
      </w:r>
    </w:p>
    <w:p w14:paraId="7CBA499E" w14:textId="309CD5AF" w:rsidR="007C2364" w:rsidRPr="007C2364" w:rsidRDefault="00D27392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Kupující </w:t>
      </w:r>
      <w:r w:rsidR="007C2364" w:rsidRPr="007C2364">
        <w:rPr>
          <w:rFonts w:asciiTheme="minorHAnsi" w:hAnsiTheme="minorHAnsi" w:cstheme="minorHAnsi"/>
          <w:sz w:val="20"/>
          <w:szCs w:val="20"/>
        </w:rPr>
        <w:t xml:space="preserve">předpokládá plnění v podobě třech licencí Microsoft Windows Server 2025 Datacenter, každou pro 32 </w:t>
      </w:r>
      <w:proofErr w:type="spellStart"/>
      <w:r w:rsidR="007C2364" w:rsidRPr="007C2364">
        <w:rPr>
          <w:rFonts w:asciiTheme="minorHAnsi" w:hAnsiTheme="minorHAnsi" w:cstheme="minorHAnsi"/>
          <w:sz w:val="20"/>
          <w:szCs w:val="20"/>
        </w:rPr>
        <w:t>core</w:t>
      </w:r>
      <w:proofErr w:type="spellEnd"/>
      <w:r w:rsidR="007C2364" w:rsidRPr="007C2364">
        <w:rPr>
          <w:rFonts w:asciiTheme="minorHAnsi" w:hAnsiTheme="minorHAnsi" w:cstheme="minorHAnsi"/>
          <w:sz w:val="20"/>
          <w:szCs w:val="20"/>
        </w:rPr>
        <w:t>, což odpovídá minimální poptávané hardwarové konfiguraci serverové infrastruktury (</w:t>
      </w:r>
      <w:proofErr w:type="spellStart"/>
      <w:r w:rsidR="007C2364" w:rsidRPr="007C2364">
        <w:rPr>
          <w:rFonts w:asciiTheme="minorHAnsi" w:hAnsiTheme="minorHAnsi" w:cstheme="minorHAnsi"/>
          <w:sz w:val="20"/>
          <w:szCs w:val="20"/>
        </w:rPr>
        <w:t>VMware</w:t>
      </w:r>
      <w:proofErr w:type="spellEnd"/>
      <w:r w:rsidR="007C2364" w:rsidRPr="007C2364">
        <w:rPr>
          <w:rFonts w:asciiTheme="minorHAnsi" w:hAnsiTheme="minorHAnsi" w:cstheme="minorHAnsi"/>
          <w:sz w:val="20"/>
          <w:szCs w:val="20"/>
        </w:rPr>
        <w:t>).</w:t>
      </w:r>
    </w:p>
    <w:p w14:paraId="11A73E98" w14:textId="60AE439A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 xml:space="preserve">V případě, že bude </w:t>
      </w:r>
      <w:r w:rsidR="00D27392">
        <w:rPr>
          <w:rFonts w:asciiTheme="minorHAnsi" w:hAnsiTheme="minorHAnsi" w:cstheme="minorHAnsi"/>
          <w:sz w:val="20"/>
          <w:szCs w:val="20"/>
        </w:rPr>
        <w:t xml:space="preserve">prodávajícím </w:t>
      </w:r>
      <w:r w:rsidRPr="007C2364">
        <w:rPr>
          <w:rFonts w:asciiTheme="minorHAnsi" w:hAnsiTheme="minorHAnsi" w:cstheme="minorHAnsi"/>
          <w:sz w:val="20"/>
          <w:szCs w:val="20"/>
        </w:rPr>
        <w:t xml:space="preserve">nabídnuta konfigurace serverů, obsahující v součtu více než 96 jader, je možné variantní plnění v podobě jiného licenčního modelu. </w:t>
      </w:r>
      <w:r w:rsidR="00D27392">
        <w:rPr>
          <w:rFonts w:asciiTheme="minorHAnsi" w:hAnsiTheme="minorHAnsi" w:cstheme="minorHAnsi"/>
          <w:sz w:val="20"/>
          <w:szCs w:val="20"/>
        </w:rPr>
        <w:t xml:space="preserve">Prodávající </w:t>
      </w:r>
      <w:r w:rsidRPr="007C2364">
        <w:rPr>
          <w:rFonts w:asciiTheme="minorHAnsi" w:hAnsiTheme="minorHAnsi" w:cstheme="minorHAnsi"/>
          <w:sz w:val="20"/>
          <w:szCs w:val="20"/>
        </w:rPr>
        <w:t>však odpovídá za to, že je součástí dodávky odpovídající počet licencí Microsoft Windows Server správného typu.</w:t>
      </w:r>
    </w:p>
    <w:p w14:paraId="5818FB00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>Minimální technické požadavky na software:</w:t>
      </w: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0"/>
        <w:gridCol w:w="1135"/>
      </w:tblGrid>
      <w:tr w:rsidR="007C2364" w:rsidRPr="007C2364" w14:paraId="38E012F1" w14:textId="77777777" w:rsidTr="004F4E49"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162082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Licence Microsoft Windows Server (3 ks)</w:t>
            </w:r>
          </w:p>
        </w:tc>
      </w:tr>
      <w:tr w:rsidR="007C2364" w:rsidRPr="007C2364" w14:paraId="43858DF9" w14:textId="77777777" w:rsidTr="004F4E49">
        <w:tc>
          <w:tcPr>
            <w:tcW w:w="90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7437FA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Výrobce:</w:t>
            </w:r>
          </w:p>
        </w:tc>
      </w:tr>
      <w:tr w:rsidR="007C2364" w:rsidRPr="007C2364" w14:paraId="4125ADE4" w14:textId="77777777" w:rsidTr="004F4E49">
        <w:tc>
          <w:tcPr>
            <w:tcW w:w="90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5A474E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Model:</w:t>
            </w:r>
          </w:p>
        </w:tc>
      </w:tr>
      <w:tr w:rsidR="007C2364" w:rsidRPr="007C2364" w14:paraId="7EAB0B9A" w14:textId="77777777" w:rsidTr="004F4E49">
        <w:tc>
          <w:tcPr>
            <w:tcW w:w="90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D8CD3E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P/N:</w:t>
            </w:r>
          </w:p>
        </w:tc>
      </w:tr>
      <w:tr w:rsidR="004F4E49" w:rsidRPr="007C2364" w14:paraId="2CF39546" w14:textId="77777777" w:rsidTr="004F4E49">
        <w:tc>
          <w:tcPr>
            <w:tcW w:w="90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C448D75" w14:textId="666C3A0D" w:rsidR="004F4E49" w:rsidRPr="007C2364" w:rsidRDefault="004F4E49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Cena:</w:t>
            </w:r>
          </w:p>
        </w:tc>
      </w:tr>
      <w:tr w:rsidR="007C2364" w:rsidRPr="007C2364" w14:paraId="62BA9634" w14:textId="77777777" w:rsidTr="004F4E49"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2E9115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Obecné požadavky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24B6DA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7C2364" w:rsidRPr="007C2364" w14:paraId="117649CF" w14:textId="77777777" w:rsidTr="004F4E49">
        <w:tc>
          <w:tcPr>
            <w:tcW w:w="7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B21475F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Licenční pokrytí v podobě licence</w:t>
            </w:r>
          </w:p>
          <w:p w14:paraId="36BBD25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Microsoft Windows Server 2025 Datacenter pro </w:t>
            </w:r>
            <w:proofErr w:type="gram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32-core</w:t>
            </w:r>
            <w:proofErr w:type="gramEnd"/>
          </w:p>
          <w:p w14:paraId="5E82253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nebo vyšší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DB346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4ED10B25" w14:textId="77777777" w:rsidTr="004F4E49">
        <w:tc>
          <w:tcPr>
            <w:tcW w:w="7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1FA3D6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Servery tvořící serverovou infrastrukturu (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) jsou pro popsané plánované užití správně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zalicencovány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v souladu s licenčními podmínkami příslušného nositele práv k danému softwaru.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811680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6CC00AF8" w14:textId="77777777" w:rsidTr="004F4E49">
        <w:tc>
          <w:tcPr>
            <w:tcW w:w="7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4A56E2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Software je dodán s plnými a originálními licencemi.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9805EC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71CBC6" w14:textId="77777777" w:rsidR="007C2364" w:rsidRPr="007C2364" w:rsidRDefault="007C2364" w:rsidP="007C2364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0EA33231" w14:textId="77777777" w:rsidR="007C2364" w:rsidRPr="007C2364" w:rsidRDefault="007C2364" w:rsidP="007C236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5C92B50" w14:textId="32E9F19A" w:rsidR="007C2364" w:rsidRPr="007C2364" w:rsidRDefault="00D27392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Prodávající </w:t>
      </w:r>
      <w:r w:rsidR="007C2364" w:rsidRPr="007C2364">
        <w:rPr>
          <w:rFonts w:asciiTheme="minorHAnsi" w:hAnsiTheme="minorHAnsi" w:cstheme="minorHAnsi"/>
          <w:sz w:val="20"/>
          <w:szCs w:val="20"/>
        </w:rPr>
        <w:t>specifikuje výrobce, model, P/N.</w:t>
      </w:r>
    </w:p>
    <w:p w14:paraId="318F67AB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>Dále uvede, jestli splňuje požadavky (ano / ne) a popíše, jakým způsobem.</w:t>
      </w:r>
    </w:p>
    <w:p w14:paraId="6588C929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9A1305" w14:textId="77777777" w:rsidR="007C2364" w:rsidRPr="007C2364" w:rsidRDefault="007C2364" w:rsidP="00E268FE">
      <w:pPr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5" w:name="_Toc200134387"/>
      <w:r w:rsidRPr="007C2364">
        <w:rPr>
          <w:rFonts w:asciiTheme="minorHAnsi" w:hAnsiTheme="minorHAnsi" w:cstheme="minorHAnsi"/>
          <w:b/>
          <w:bCs/>
          <w:sz w:val="20"/>
          <w:szCs w:val="20"/>
        </w:rPr>
        <w:t>Microsoft Windows Server 2025 CAL</w:t>
      </w:r>
      <w:bookmarkEnd w:id="5"/>
    </w:p>
    <w:p w14:paraId="70D87A95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BE3A92E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>Předmětem plnění je licenční pokrytí přístupů jednotlivých uživatelů k serverovým službám systémů MS Windows, provozovaných na (mimo jiné) na hypervisorech serverové infrastruktury (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VMware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>) dle výše uvedené specifikace, a to v souladu s licenční politikou společnosti Microsoft.</w:t>
      </w:r>
    </w:p>
    <w:p w14:paraId="27DE17B7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>Plnění zahrnuje 200 klientských přístupových licencí (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Client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 xml:space="preserve"> Access 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Licenses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 xml:space="preserve">, dále jen „CAL“) firmy Microsoft 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Corporation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>.</w:t>
      </w:r>
    </w:p>
    <w:p w14:paraId="0E407E55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>Minimální technické požadavky na software:</w:t>
      </w: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0"/>
        <w:gridCol w:w="1135"/>
      </w:tblGrid>
      <w:tr w:rsidR="007C2364" w:rsidRPr="007C2364" w14:paraId="09679552" w14:textId="77777777" w:rsidTr="004F4E49"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B3B34D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Licence Microsoft Windows Server CAL (200 ks)</w:t>
            </w:r>
          </w:p>
        </w:tc>
      </w:tr>
      <w:tr w:rsidR="007C2364" w:rsidRPr="007C2364" w14:paraId="2FD71F53" w14:textId="77777777" w:rsidTr="004F4E49">
        <w:tc>
          <w:tcPr>
            <w:tcW w:w="90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5D8238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Výrobce:</w:t>
            </w:r>
          </w:p>
        </w:tc>
      </w:tr>
      <w:tr w:rsidR="007C2364" w:rsidRPr="007C2364" w14:paraId="33F4E11F" w14:textId="77777777" w:rsidTr="004F4E49">
        <w:tc>
          <w:tcPr>
            <w:tcW w:w="90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AD9789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Model:</w:t>
            </w:r>
          </w:p>
        </w:tc>
      </w:tr>
      <w:tr w:rsidR="007C2364" w:rsidRPr="007C2364" w14:paraId="7EDDF525" w14:textId="77777777" w:rsidTr="004F4E49">
        <w:tc>
          <w:tcPr>
            <w:tcW w:w="90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46D443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P/N:</w:t>
            </w:r>
          </w:p>
        </w:tc>
      </w:tr>
      <w:tr w:rsidR="004F4E49" w:rsidRPr="007C2364" w14:paraId="32850125" w14:textId="77777777" w:rsidTr="004F4E49">
        <w:tc>
          <w:tcPr>
            <w:tcW w:w="90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AE65CDB" w14:textId="2E71E739" w:rsidR="004F4E49" w:rsidRPr="007C2364" w:rsidRDefault="004F4E49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Cena:</w:t>
            </w:r>
          </w:p>
        </w:tc>
      </w:tr>
      <w:tr w:rsidR="007C2364" w:rsidRPr="007C2364" w14:paraId="4CCE91A5" w14:textId="77777777" w:rsidTr="004F4E49"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4129B7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Obecné požadavky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8E38E14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7C2364" w:rsidRPr="007C2364" w14:paraId="64AFEC9A" w14:textId="77777777" w:rsidTr="004F4E49">
        <w:tc>
          <w:tcPr>
            <w:tcW w:w="7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BB654D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Microsoft Windows Server 2025 CAL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CE267A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47A6D916" w14:textId="77777777" w:rsidTr="004F4E49">
        <w:tc>
          <w:tcPr>
            <w:tcW w:w="7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C14B5D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Software je dodán s plnými a originálními licencemi.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19120DF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E3052B" w14:textId="77777777" w:rsidR="007C2364" w:rsidRPr="007C2364" w:rsidRDefault="007C2364" w:rsidP="007C2364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2E4A3D35" w14:textId="023B9A42" w:rsidR="007C2364" w:rsidRPr="007C2364" w:rsidRDefault="00D27392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Prodávající </w:t>
      </w:r>
      <w:r w:rsidR="007C2364" w:rsidRPr="007C2364">
        <w:rPr>
          <w:rFonts w:asciiTheme="minorHAnsi" w:hAnsiTheme="minorHAnsi" w:cstheme="minorHAnsi"/>
          <w:sz w:val="20"/>
          <w:szCs w:val="20"/>
        </w:rPr>
        <w:t>specifikuje výrobce, model, P/N.</w:t>
      </w:r>
    </w:p>
    <w:p w14:paraId="711AD405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>Dále uvede, jestli splňuje požadavky (ano / ne) a popíše, jakým způsobem.</w:t>
      </w:r>
    </w:p>
    <w:p w14:paraId="2D44C5BE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262E2AA" w14:textId="77777777" w:rsidR="007C2364" w:rsidRPr="007C2364" w:rsidRDefault="007C2364" w:rsidP="00E268FE">
      <w:pPr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6" w:name="_Toc200134389"/>
      <w:r w:rsidRPr="007C2364">
        <w:rPr>
          <w:rFonts w:asciiTheme="minorHAnsi" w:hAnsiTheme="minorHAnsi" w:cstheme="minorHAnsi"/>
          <w:b/>
          <w:bCs/>
          <w:sz w:val="20"/>
          <w:szCs w:val="20"/>
        </w:rPr>
        <w:t>Diskové pole – produkční</w:t>
      </w:r>
      <w:bookmarkEnd w:id="6"/>
    </w:p>
    <w:p w14:paraId="669E6906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300024" w14:textId="7302048B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 xml:space="preserve">Předmětem plnění je diskové pole pro produkční provoz v konfiguraci, pokrývající současné požadavky </w:t>
      </w:r>
      <w:r w:rsidR="00D27392">
        <w:rPr>
          <w:rFonts w:asciiTheme="minorHAnsi" w:hAnsiTheme="minorHAnsi" w:cstheme="minorHAnsi"/>
          <w:sz w:val="20"/>
          <w:szCs w:val="20"/>
        </w:rPr>
        <w:t>kupujícího</w:t>
      </w:r>
      <w:r w:rsidR="00D27392" w:rsidRPr="007C2364">
        <w:rPr>
          <w:rFonts w:asciiTheme="minorHAnsi" w:hAnsiTheme="minorHAnsi" w:cstheme="minorHAnsi"/>
          <w:sz w:val="20"/>
          <w:szCs w:val="20"/>
        </w:rPr>
        <w:t xml:space="preserve"> </w:t>
      </w:r>
      <w:r w:rsidRPr="007C2364">
        <w:rPr>
          <w:rFonts w:asciiTheme="minorHAnsi" w:hAnsiTheme="minorHAnsi" w:cstheme="minorHAnsi"/>
          <w:sz w:val="20"/>
          <w:szCs w:val="20"/>
        </w:rPr>
        <w:t xml:space="preserve">i předpokládané budoucí požadavky </w:t>
      </w:r>
      <w:r w:rsidR="00D27392">
        <w:rPr>
          <w:rFonts w:asciiTheme="minorHAnsi" w:hAnsiTheme="minorHAnsi" w:cstheme="minorHAnsi"/>
          <w:sz w:val="20"/>
          <w:szCs w:val="20"/>
        </w:rPr>
        <w:t>kupujícího</w:t>
      </w:r>
      <w:r w:rsidR="00D27392" w:rsidRPr="007C2364">
        <w:rPr>
          <w:rFonts w:asciiTheme="minorHAnsi" w:hAnsiTheme="minorHAnsi" w:cstheme="minorHAnsi"/>
          <w:sz w:val="20"/>
          <w:szCs w:val="20"/>
        </w:rPr>
        <w:t xml:space="preserve"> </w:t>
      </w:r>
      <w:r w:rsidRPr="007C2364">
        <w:rPr>
          <w:rFonts w:asciiTheme="minorHAnsi" w:hAnsiTheme="minorHAnsi" w:cstheme="minorHAnsi"/>
          <w:sz w:val="20"/>
          <w:szCs w:val="20"/>
        </w:rPr>
        <w:t>po dobu trvání záruky a podpory. K tomuto poli budou připojeny servery poskytnuté jako plnění v rámci bodů serverová infrastruktura (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VMware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>) a serverová infrastruktura (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Proxmox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>) a dodané diskové pole s nimi musí být kompatibilní.</w:t>
      </w:r>
    </w:p>
    <w:p w14:paraId="5A8253AC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 xml:space="preserve">Plnění zahrnuje jedno diskové pole o čisté (tedy bez 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deduplikace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 xml:space="preserve">, komprese apod.), technicky a z pohledu hostitelských operačních systémů využitelné kapacitě 115 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TiB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 xml:space="preserve"> SSD, se dvěma zastupitelnými kontroléry, z nichž každý disponuje osmi rozhraními pro připojení do SAN typu FC </w:t>
      </w:r>
      <w:proofErr w:type="gramStart"/>
      <w:r w:rsidRPr="007C2364">
        <w:rPr>
          <w:rFonts w:asciiTheme="minorHAnsi" w:hAnsiTheme="minorHAnsi" w:cstheme="minorHAnsi"/>
          <w:sz w:val="20"/>
          <w:szCs w:val="20"/>
        </w:rPr>
        <w:t>32GB</w:t>
      </w:r>
      <w:proofErr w:type="gramEnd"/>
      <w:r w:rsidRPr="007C2364">
        <w:rPr>
          <w:rFonts w:asciiTheme="minorHAnsi" w:hAnsiTheme="minorHAnsi" w:cstheme="minorHAnsi"/>
          <w:sz w:val="20"/>
          <w:szCs w:val="20"/>
        </w:rPr>
        <w:t>.</w:t>
      </w:r>
    </w:p>
    <w:p w14:paraId="54D0CB38" w14:textId="3C756A9C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 xml:space="preserve">Z důvodu snazší správy požaduje </w:t>
      </w:r>
      <w:r w:rsidR="00D27392">
        <w:rPr>
          <w:rFonts w:asciiTheme="minorHAnsi" w:hAnsiTheme="minorHAnsi" w:cstheme="minorHAnsi"/>
          <w:sz w:val="20"/>
          <w:szCs w:val="20"/>
        </w:rPr>
        <w:t>kupující</w:t>
      </w:r>
      <w:r w:rsidRPr="007C2364">
        <w:rPr>
          <w:rFonts w:asciiTheme="minorHAnsi" w:hAnsiTheme="minorHAnsi" w:cstheme="minorHAnsi"/>
          <w:sz w:val="20"/>
          <w:szCs w:val="20"/>
        </w:rPr>
        <w:t xml:space="preserve">, aby </w:t>
      </w:r>
      <w:r w:rsidRPr="007C2364">
        <w:rPr>
          <w:rFonts w:asciiTheme="minorHAnsi" w:hAnsiTheme="minorHAnsi" w:cstheme="minorHAnsi"/>
          <w:i/>
          <w:iCs/>
          <w:sz w:val="20"/>
          <w:szCs w:val="20"/>
        </w:rPr>
        <w:t>diskové pole – produkční</w:t>
      </w:r>
      <w:r w:rsidRPr="007C2364">
        <w:rPr>
          <w:rFonts w:asciiTheme="minorHAnsi" w:hAnsiTheme="minorHAnsi" w:cstheme="minorHAnsi"/>
          <w:sz w:val="20"/>
          <w:szCs w:val="20"/>
        </w:rPr>
        <w:t xml:space="preserve"> a níže uvedená </w:t>
      </w:r>
      <w:r w:rsidRPr="007C2364">
        <w:rPr>
          <w:rFonts w:asciiTheme="minorHAnsi" w:hAnsiTheme="minorHAnsi" w:cstheme="minorHAnsi"/>
          <w:i/>
          <w:iCs/>
          <w:sz w:val="20"/>
          <w:szCs w:val="20"/>
        </w:rPr>
        <w:t xml:space="preserve">disková pole – zálohování a BCM </w:t>
      </w:r>
      <w:r w:rsidRPr="007C2364">
        <w:rPr>
          <w:rFonts w:asciiTheme="minorHAnsi" w:hAnsiTheme="minorHAnsi" w:cstheme="minorHAnsi"/>
          <w:sz w:val="20"/>
          <w:szCs w:val="20"/>
        </w:rPr>
        <w:t>pocházela od stejného výrobce, jejich konfigurace a správa probíhala stejným způsobem a aby byla připojitelná pod jeden unifikovaný nástroj pro správu a dohled hardwaru. Vyžaduje-li splnění posledního požadavku separátní licenci, musí být tato součástí poskytnutého plnění.</w:t>
      </w:r>
    </w:p>
    <w:p w14:paraId="69110619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>Diskové pole musí splňovat následující minimální technické požadavky:</w:t>
      </w:r>
    </w:p>
    <w:p w14:paraId="4D23D65B" w14:textId="77777777" w:rsidR="007C2364" w:rsidRPr="007C2364" w:rsidRDefault="007C2364" w:rsidP="007C236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0"/>
        <w:gridCol w:w="1135"/>
      </w:tblGrid>
      <w:tr w:rsidR="007C2364" w:rsidRPr="007C2364" w14:paraId="13852DA6" w14:textId="77777777" w:rsidTr="004F4E49"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2E342C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Diskové pole – produkční (1 ks)</w:t>
            </w:r>
          </w:p>
        </w:tc>
      </w:tr>
      <w:tr w:rsidR="007C2364" w:rsidRPr="007C2364" w14:paraId="4882D741" w14:textId="77777777" w:rsidTr="004F4E49">
        <w:tc>
          <w:tcPr>
            <w:tcW w:w="90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735080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Výrobce:</w:t>
            </w:r>
          </w:p>
        </w:tc>
      </w:tr>
      <w:tr w:rsidR="007C2364" w:rsidRPr="007C2364" w14:paraId="3C91E50E" w14:textId="77777777" w:rsidTr="004F4E49"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E88AE4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Model:</w:t>
            </w:r>
          </w:p>
        </w:tc>
      </w:tr>
      <w:tr w:rsidR="007C2364" w:rsidRPr="007C2364" w14:paraId="472DCC83" w14:textId="77777777" w:rsidTr="004F4E49"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40D241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P/N:</w:t>
            </w:r>
          </w:p>
        </w:tc>
      </w:tr>
      <w:tr w:rsidR="004F4E49" w:rsidRPr="007C2364" w14:paraId="382BF19E" w14:textId="77777777" w:rsidTr="004F4E49"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4E3F49E" w14:textId="00511A8C" w:rsidR="004F4E49" w:rsidRPr="007C2364" w:rsidRDefault="004F4E49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Cena:</w:t>
            </w:r>
          </w:p>
        </w:tc>
      </w:tr>
      <w:tr w:rsidR="007C2364" w:rsidRPr="007C2364" w14:paraId="31E4ACED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30B8EB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Technický parametr / Funkce a jeho požadovaná minimální hodnota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D6FB7A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7C2364" w:rsidRPr="007C2364" w14:paraId="7EB99CB1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CCAC93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Diskové pole musí být dodáno s užitnou kapacitou 115 </w:t>
            </w:r>
            <w:proofErr w:type="spellStart"/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>TiB</w:t>
            </w:r>
            <w:proofErr w:type="spellEnd"/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Do této kapacity se nezapočítává </w:t>
            </w:r>
            <w:proofErr w:type="spellStart"/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>spare</w:t>
            </w:r>
            <w:proofErr w:type="spellEnd"/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prostor, technická režie diskového pole, parita, komprese, </w:t>
            </w:r>
            <w:proofErr w:type="spellStart"/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>deduplikace</w:t>
            </w:r>
            <w:proofErr w:type="spellEnd"/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ani jiné redukční algoritmy. Jedná se o čistý užitný prostor, který je možné adresovat ze strany operačního systému připojeného serveru.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A969AB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29CF63B6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1BD203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Diskové pole musí být dodáno s konektivitou minimálně 8x FC 32 GB/řadič včetně potřebných SFP.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F89F02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747184A0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430F88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Pro osazení do 19" racku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BB7B2F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1907C58D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1F9E41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Diskové pole se současně blokovým, souborovým i objektovým (S3) přístupem.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AF100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1C632954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A326B3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Musí podporovat tyto způsoby připojení FC 32Gb, </w:t>
            </w:r>
            <w:proofErr w:type="spellStart"/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>NVMEoFC</w:t>
            </w:r>
            <w:proofErr w:type="spellEnd"/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32Gb.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B490C2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60ECE6CB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3353F1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Diskové pole musí být typu "All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Flash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" tzn. navržené s ohledem na moderní a rychlá datová media typu SSD/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CC29C24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40A12F30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B5EF22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Odolnost proti výpadkům jednotlivých aktivních komponent a nesmí mít SPOF (single point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failure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47CBE6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070F411C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29C200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Podpora připojení minimálně k těmto operačním systémům: Windows Server 2019/2022/2025,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Ubuntu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24.04 LTS,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ESXi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7 a 8 a pro tyto OS musí mít nativní ovladače MPIO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A84787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49032017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F4196A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Možnost budoucího navýšení FC rychlosti pro rozhraní směrem k serverů (front end host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connectivity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) pomocí FC 64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Gb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/s prostou výměnou 32Gb SFP za 64Gb SFP.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3D697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71BBE8E7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7F2FED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Podpora rozhraní směrem k serverům (front end host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connectivity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) pomocí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NMVMe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technologie (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NMVMe-oFC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32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Gb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/s)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027CBA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162B4ADF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0E2EB1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Minimálně 2 identické řadiče (kontroléry).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C60BC7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5D2FF407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5E4097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Diskové pole musí jít kapacitně rozšiřovat pomocí expanzních polic a možnost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clusterování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až 8 </w:t>
            </w:r>
            <w:proofErr w:type="gram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kontrolérů .</w:t>
            </w:r>
            <w:proofErr w:type="gramEnd"/>
          </w:p>
          <w:p w14:paraId="684C7D9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Připojení expanzních polic musí využívat také technologii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. Police připojené pomocí SAS 12Gb technologie se neakceptují.</w:t>
            </w:r>
          </w:p>
          <w:p w14:paraId="5979DAE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Diskové pole musí být vnitřně end-to-end postavené na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technologiích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2CF7E6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74A3D96E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3B1918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Podpora připojení alespoň až 72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disků na řadič a až 288 disků na cluster kontrolérů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E27B6F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48EABDB7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CD942C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Možnost rozšíření kapacity pole minimálně na dvojnásobek pouhým přidáním disků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E3A2D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28A19A39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07CE46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Odolnost proti současnému výpadku až tří disků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252415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75A20BDF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AA63A9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Diskové pole musí mít možnost konfigurace jako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multitenantní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s úplným oddělením jednotlivých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tenantů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a možností garantování a omezení výkonu IOPS a propustnosti pomocí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QoS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622F1C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45F96E89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4AE6D2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Použití výhradně takových datových médií, která mají garanci proti vypsání (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wearout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) po dobu minimálně 5 let a která jsou určena pro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enteprise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provoz 24x7x365.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29DACC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72E7F763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D12525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Diskové pole musí jít servisovat za chodu bez přerušení poskytování datových služeb. Musí být možné provádět:</w:t>
            </w:r>
          </w:p>
          <w:p w14:paraId="12EE9666" w14:textId="77777777" w:rsidR="007C2364" w:rsidRPr="007C2364" w:rsidRDefault="007C2364" w:rsidP="00E268FE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výměnu napájecího zdroje,</w:t>
            </w:r>
          </w:p>
          <w:p w14:paraId="660C8E03" w14:textId="77777777" w:rsidR="007C2364" w:rsidRPr="007C2364" w:rsidRDefault="007C2364" w:rsidP="00E268FE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výměnu kontroléru,</w:t>
            </w:r>
          </w:p>
          <w:p w14:paraId="0AB0E375" w14:textId="77777777" w:rsidR="007C2364" w:rsidRPr="007C2364" w:rsidRDefault="007C2364" w:rsidP="00E268FE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výměnu karty pro připojení serverů (HBA/NIC),</w:t>
            </w:r>
          </w:p>
          <w:p w14:paraId="3F12B53A" w14:textId="77777777" w:rsidR="007C2364" w:rsidRPr="007C2364" w:rsidRDefault="007C2364" w:rsidP="00E268FE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rozšíření o expanzní polici,</w:t>
            </w:r>
          </w:p>
          <w:p w14:paraId="4BBF54FA" w14:textId="77777777" w:rsidR="007C2364" w:rsidRPr="007C2364" w:rsidRDefault="007C2364" w:rsidP="00E268FE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rozšíření o další kartu pro připojení serverů (HBA/NIC),</w:t>
            </w:r>
          </w:p>
          <w:p w14:paraId="062BCBAC" w14:textId="77777777" w:rsidR="007C2364" w:rsidRPr="007C2364" w:rsidRDefault="007C2364" w:rsidP="00E268FE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upgrade firmware datových disků,</w:t>
            </w:r>
          </w:p>
          <w:p w14:paraId="59313896" w14:textId="77777777" w:rsidR="007C2364" w:rsidRPr="007C2364" w:rsidRDefault="007C2364" w:rsidP="00E268FE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upgrade firmware kontrolérů,</w:t>
            </w:r>
          </w:p>
          <w:p w14:paraId="5054A7AF" w14:textId="77777777" w:rsidR="007C2364" w:rsidRPr="007C2364" w:rsidRDefault="007C2364" w:rsidP="00E268FE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upgrade firmware karet pro připojení serverů (HBA/NIC).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AB1D29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1855773E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80A94B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Synchronní i asynchronní replikace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F70A5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4001E527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1CC36C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Diskové pole musí být dodané včetně licence na replikaci, včetně replikace do cloud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25D4A8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634CE2CF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3C0F285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Podpora replikace v režimu "Metro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Storage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Cluster"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C249AA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1D6992EF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7A6149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Integrace s OS Windows:</w:t>
            </w:r>
          </w:p>
          <w:p w14:paraId="597196B6" w14:textId="77777777" w:rsidR="007C2364" w:rsidRPr="007C2364" w:rsidRDefault="007C2364" w:rsidP="00E268FE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reklamace pro uvolnění kapacity T10 UNMAP</w:t>
            </w:r>
          </w:p>
          <w:p w14:paraId="75AFAF7D" w14:textId="77777777" w:rsidR="007C2364" w:rsidRPr="007C2364" w:rsidRDefault="007C2364" w:rsidP="00E268FE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Offload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Data Transfer (ODX)</w:t>
            </w:r>
          </w:p>
          <w:p w14:paraId="6FEC3369" w14:textId="77777777" w:rsidR="007C2364" w:rsidRPr="007C2364" w:rsidRDefault="007C2364" w:rsidP="00E268FE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Microsoft SCOM</w:t>
            </w:r>
          </w:p>
          <w:p w14:paraId="537D3DA7" w14:textId="77777777" w:rsidR="007C2364" w:rsidRPr="007C2364" w:rsidRDefault="007C2364" w:rsidP="00E268FE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knihovna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PowerShell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skriptů (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tootlkit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) pro automatizaci správy pole z prostředí Microsoft Windows.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6B308E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7DF440CC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636AED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Integrace s virtualizací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ADD7985" w14:textId="77777777" w:rsidR="007C2364" w:rsidRPr="007C2364" w:rsidRDefault="007C2364" w:rsidP="00E268FE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VAAI (XCOPY, WRITE_SAME, ATS)</w:t>
            </w:r>
          </w:p>
          <w:p w14:paraId="0D8BA4E2" w14:textId="77777777" w:rsidR="007C2364" w:rsidRPr="007C2364" w:rsidRDefault="007C2364" w:rsidP="00E268FE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VASA (podpora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vVOL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, min. VASA v.3, min. 16 host serverů, min 200 VM, min 5000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vVVOL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, podpora replikace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vVOL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141231B" w14:textId="77777777" w:rsidR="007C2364" w:rsidRPr="007C2364" w:rsidRDefault="007C2364" w:rsidP="00E268FE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reklamace pro uvolnění kapacity T10 UNMAP</w:t>
            </w:r>
          </w:p>
          <w:p w14:paraId="7AEC94B4" w14:textId="77777777" w:rsidR="007C2364" w:rsidRPr="007C2364" w:rsidRDefault="007C2364" w:rsidP="00E268FE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usnadnění administrace, integraci s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vCenter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(např. plugin)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11ABAF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11F4EE59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E66C55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Možnost vytvořit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Volume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přes celou kapacitu diskového pole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7ADCF4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6785E0FD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C6877D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>Integrovaná ochrana proti ransomware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CB4794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3B50978F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6153D2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Management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7D7C295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7C2364" w:rsidRPr="007C2364" w14:paraId="4119A70A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DD3231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Každý řadič musí disponovat dedikovaným management portem ETH.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7F5F08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18448DA4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029FA5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Podpora management po IPv4 i IPv6.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76591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44DBACA8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8FA8E9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moderní zabezpečení SSL3/TLS 1.3.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3D11A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68517DD0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A7B733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Správa pomocí SSH CLI.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CFFB1B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2CE54202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9548795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Správa pomocí GUI (webový prohlížeč)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AE20BA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08D39F01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2221FB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Správa pomocí REST API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288DC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71540779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987941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Podpora lokálních uživatelů s delegovanými právy k daným rolím a RBAC přístupem.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14864E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517E57DD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FAF9C1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Podpora ověřování lokálních uživatelů proti externí autoritě AD/LDAP.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036D2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7C94A0A9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6FDA10F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Podpora správy pomocí SMI-S v.1.4 (SNIA)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18AC3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667E9010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CE4610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Podpora zasílání logů (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syslog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06AA66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4399AC6C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0699D1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Podpora zasálání chyb a událostí (SNMP v.3 -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Network Management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Protocol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BB543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0E975F04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978962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Podpora zasílání chyb a událostí přes email (SMTP)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255E1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1B3F52AC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024DAF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Ostatní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0F03C2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7C2364" w:rsidRPr="007C2364" w14:paraId="3E58E3B3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753490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Záruka min. 5let NBD on-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site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– 24 x 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12688C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473B14B6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3241B7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Nesmí po dobu 7 let přejít do režimu konce podpory.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B3EE745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0BBBF3AB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096715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Chlazené vzduchem zepředu dozadu.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688088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5F053313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47FABA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Součástí dodávky budou veškeré potřebné licence nezbytné k provozu v infrastruktuře, včetně případného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zalicencování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nástrojů pro management a dohled.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0EA13C4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535E7135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58536E4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Dodání včetně veškerých komponent nutných pro montáž do racku, včetně napájecích kabelů.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97C49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6E100375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929E49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Dodání včetně veškerých komponent pro propojení do SAN přepínačů, 4x FC MM transceiver na každý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controller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33ECC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0DC74639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76185E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Pole je kompatibilní se všemi servery, dodanými v rámci plnění serverová infrastruktura (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) a serverová infrastruktura (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Proxmox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735BE0F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Pole je možné pro potřeby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troubleshootingu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propojit s nástroji pro management a dohled těchto serverů.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6D3288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4998E644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0DDB78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Diskové pole – produkční je od stejného výrobce jako disková pole – zálohování a BCM; jejich konfigurace a správa probíhá stejným způsobem.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D5653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C69F24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D3D2CA" w14:textId="77777777" w:rsidR="007C2364" w:rsidRPr="007C2364" w:rsidRDefault="007C2364" w:rsidP="007C236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04A5764" w14:textId="0B298D61" w:rsidR="007C2364" w:rsidRPr="007C2364" w:rsidRDefault="00D27392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Prodávající </w:t>
      </w:r>
      <w:r w:rsidR="007C2364" w:rsidRPr="007C2364">
        <w:rPr>
          <w:rFonts w:asciiTheme="minorHAnsi" w:hAnsiTheme="minorHAnsi" w:cstheme="minorHAnsi"/>
          <w:sz w:val="20"/>
          <w:szCs w:val="20"/>
        </w:rPr>
        <w:t>specifikuje výrobce, model, P/N.</w:t>
      </w:r>
    </w:p>
    <w:p w14:paraId="0F076029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>Dále uvede, jestli splňuje požadavky (ano / ne) a popíše, jakým způsobem.</w:t>
      </w:r>
    </w:p>
    <w:p w14:paraId="2900CDA7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EDE4175" w14:textId="77777777" w:rsidR="007C2364" w:rsidRPr="007C2364" w:rsidRDefault="007C2364" w:rsidP="00E268FE">
      <w:pPr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7" w:name="_Toc200134392"/>
      <w:r w:rsidRPr="007C2364">
        <w:rPr>
          <w:rFonts w:asciiTheme="minorHAnsi" w:hAnsiTheme="minorHAnsi" w:cstheme="minorHAnsi"/>
          <w:b/>
          <w:bCs/>
          <w:sz w:val="20"/>
          <w:szCs w:val="20"/>
        </w:rPr>
        <w:t>Z</w:t>
      </w:r>
      <w:bookmarkEnd w:id="7"/>
      <w:r w:rsidRPr="007C2364">
        <w:rPr>
          <w:rFonts w:asciiTheme="minorHAnsi" w:hAnsiTheme="minorHAnsi" w:cstheme="minorHAnsi"/>
          <w:b/>
          <w:bCs/>
          <w:sz w:val="20"/>
          <w:szCs w:val="20"/>
        </w:rPr>
        <w:t>álohovací servery</w:t>
      </w:r>
    </w:p>
    <w:p w14:paraId="4F81EB69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31070B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>Předmětem plnění jsou dva fyzické servery, dedikované pro potřeby zálohování a obnovy za účelem zvýšení výkonu zálohování, dosažení vyšší spolehlivosti, minimalizace externích vlivů na zálohovací proces, minimalizaci dopadu zálohovacího procesu na chování produkčních systémů a v neposlední řadě i za účelem zvýšení zabezpečení díky izolaci od produkčního prostředí a lepšímu řízení přístupu k zálohovacímu systému a datům v něm obsažených.</w:t>
      </w:r>
    </w:p>
    <w:p w14:paraId="61E7FA0D" w14:textId="12086A78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 xml:space="preserve">Plnění zahrnuje dva shodné, vzájemně zastupitelné servery. </w:t>
      </w:r>
      <w:r w:rsidR="00D27392">
        <w:rPr>
          <w:rFonts w:asciiTheme="minorHAnsi" w:hAnsiTheme="minorHAnsi" w:cstheme="minorHAnsi"/>
          <w:sz w:val="20"/>
          <w:szCs w:val="20"/>
        </w:rPr>
        <w:t xml:space="preserve">Kupující </w:t>
      </w:r>
      <w:r w:rsidRPr="007C2364">
        <w:rPr>
          <w:rFonts w:asciiTheme="minorHAnsi" w:hAnsiTheme="minorHAnsi" w:cstheme="minorHAnsi"/>
          <w:sz w:val="20"/>
          <w:szCs w:val="20"/>
        </w:rPr>
        <w:t>požaduje, aby bylo možné všechny servery dodané v rámci této veřejné zakázky připojit pod jeden unifikovaný nástroj pro správu a dohled hardwaru. Vyžaduje-li splnění tohoto požadavku separátní licenci, musí být tato součástí poskytnutého plnění.</w:t>
      </w:r>
    </w:p>
    <w:p w14:paraId="1B70A263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>Jeden každý server musí splňovat následující minimální technické požadavky:</w:t>
      </w: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0"/>
        <w:gridCol w:w="1135"/>
      </w:tblGrid>
      <w:tr w:rsidR="007C2364" w:rsidRPr="007C2364" w14:paraId="1BC8745D" w14:textId="77777777" w:rsidTr="004F4E49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B12656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Zálohovací servery (2 ks)</w:t>
            </w:r>
          </w:p>
        </w:tc>
      </w:tr>
      <w:tr w:rsidR="007C2364" w:rsidRPr="007C2364" w14:paraId="431C9A14" w14:textId="77777777" w:rsidTr="004F4E49">
        <w:tc>
          <w:tcPr>
            <w:tcW w:w="90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424CEC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Výrobce:</w:t>
            </w:r>
          </w:p>
        </w:tc>
      </w:tr>
      <w:tr w:rsidR="007C2364" w:rsidRPr="007C2364" w14:paraId="009F8BEE" w14:textId="77777777" w:rsidTr="004F4E49">
        <w:tc>
          <w:tcPr>
            <w:tcW w:w="90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B4FD4B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Model:</w:t>
            </w:r>
          </w:p>
        </w:tc>
      </w:tr>
      <w:tr w:rsidR="007C2364" w:rsidRPr="007C2364" w14:paraId="26D26516" w14:textId="77777777" w:rsidTr="004F4E49">
        <w:tc>
          <w:tcPr>
            <w:tcW w:w="90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3C7E615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P/N:</w:t>
            </w:r>
          </w:p>
        </w:tc>
      </w:tr>
      <w:tr w:rsidR="004F4E49" w:rsidRPr="007C2364" w14:paraId="59C59E85" w14:textId="77777777" w:rsidTr="004F4E49">
        <w:tc>
          <w:tcPr>
            <w:tcW w:w="90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C796FDE" w14:textId="20750672" w:rsidR="004F4E49" w:rsidRPr="007C2364" w:rsidRDefault="004F4E49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Cena:</w:t>
            </w:r>
          </w:p>
        </w:tc>
      </w:tr>
      <w:tr w:rsidR="007C2364" w:rsidRPr="007C2364" w14:paraId="775E6F4F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07CB77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Technický parametr / Funkce a jeho požadovaná minimální hodnota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B97532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7C2364" w:rsidRPr="007C2364" w14:paraId="3777C93A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CE1300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Rackový server, provedení do 19" skříně, velikost 2U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5FD0A0F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55574D1C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96F7F8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2x CPU, každý 16 fyzických jader (32 fyzických jader na server celkem) s minimální hodnotou CPU Mark 45000. Hodnoty musí být uvedené na stránkách cpubenhcmark.net</w:t>
            </w:r>
          </w:p>
          <w:p w14:paraId="157B2BA4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Minimální základní frekvence 2,8GHz</w:t>
            </w:r>
          </w:p>
          <w:p w14:paraId="3145F9C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Příkon na CPU do </w:t>
            </w:r>
            <w:proofErr w:type="gram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195W</w:t>
            </w:r>
            <w:proofErr w:type="gramEnd"/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48B76B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1C96F45D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1360F34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Minimálně 128 GB, DDR5 s frekvencí minimálně 5600 MHz.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F2042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196A5810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629483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Možnost osadit SSD disky M.2 NVME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C50554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61A387D0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FC10A8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Plně HW RAID řadič </w:t>
            </w:r>
            <w:proofErr w:type="gram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proofErr w:type="gram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 min </w:t>
            </w:r>
            <w:proofErr w:type="gram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2GB</w:t>
            </w:r>
            <w:proofErr w:type="gram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cache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, baterií zálohovanou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cache</w:t>
            </w:r>
            <w:proofErr w:type="spellEnd"/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BBE613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2223C8EF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99E2FC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Možnost min. 24 pozic pro 2,5“ hot-swap SAS/SATA/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disky a osazen minimálně 2x480GB SSD v RAID1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49C7AE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351E4A29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1E04A9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Úložiště pro Hypervisor – 2x M.2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SSD v HW RAID1 min. </w:t>
            </w:r>
            <w:proofErr w:type="gram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960GB</w:t>
            </w:r>
            <w:proofErr w:type="gramEnd"/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499A36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35251A7E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60FD305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Dual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-port karta FC s min. 16 nebo 32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Gb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porty včetně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multimódových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převodníků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81F55A4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3DC73F2C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B762A2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Dual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portová karta 10/25Gb, včetně 2ks SFP+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F3C77A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7E9975A7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FCF5E5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Management port 1Gb včetně licence na management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16303E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37C08155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043857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2x plně redundantní hot swap zdroje. Zdroje musí splňovat požadavky na certifikaci energetické účinnosti, minimálně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Titanium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, popř. je nutno doložit, že mají při napětí 230V účinnost min. </w:t>
            </w:r>
            <w:proofErr w:type="gram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96%</w:t>
            </w:r>
            <w:proofErr w:type="gram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9644BE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0612FCD2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F2E7E5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Musí umožňovat optimalizaci výkonu serveru v závislosti na zvoleném druhu zátěže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5B2592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7021530F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179BAF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SW nezávislá vzdálená správa umožňující vzdálené zapnutí a vypnutí serveru, virtuální KVM a virtuální media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607465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1267224F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97C6B2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Přehled stavu systému a důležitých bezpečnostních funkcí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275EA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6C04275D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99BEAE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Možnost uzamknutí konfigurace serveru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D90186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05CE8411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6670AB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Podpora UEFI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Secure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Boot</w:t>
            </w:r>
            <w:proofErr w:type="spellEnd"/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A1369C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79770578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EAD223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TPM čip min 2.0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059D7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53156547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619B69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Možnost odrolování na předchozí firmware /obnova při jeho kompromitaci za běhu serveru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7FA624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24AFD8EE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6DB4974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Certifikát zabraňující výměně komponent během dodávky i během následného provozu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59DE03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6FA2A97C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921DD5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Možnost detekce otevření chassis serveru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35BD0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037A03CE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E4CED5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Zadavatel požaduje z důvodu vzájemné kompatibility dodávku všech serverů od jednoho výrobce a všechny CPU stejné generace.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83AD13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785F59A5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AF0A60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Možnost správy více serverů z jedné management konzole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D1DB96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522DDE6D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CFF010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Ostatní požadavky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DD8688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7C2364" w:rsidRPr="007C2364" w14:paraId="73962B6B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4BAD2F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Zadavatel požaduje ke všem síťovým kartám, kterými budou servery osazeny, dodat příslušné 10Gbit SFP+ moduly včetně kabeláže (min. délka </w:t>
            </w:r>
            <w:proofErr w:type="gram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2m</w:t>
            </w:r>
            <w:proofErr w:type="gram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) nebo DAC kabely (min. délka </w:t>
            </w:r>
            <w:proofErr w:type="gram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2m</w:t>
            </w:r>
            <w:proofErr w:type="gram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3C1FA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60060DA6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30C901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Zadavatel požaduje ke všem FC kartám, kterými budou servery osazeny, dodat příslušné výrobcem podporované 32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Gbit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FC MM SFP moduly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400DC0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4EC58BAF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346852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Všechna zařízení musí být dodány včetně příslušenství pro montáž do 19“ skříně (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rail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kit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cable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management) a včetně napájecích kabelů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6E0514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0A2873CF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B8C93F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Server je plně kompatibilní se zálohovacími řešeními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Spectrum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Protect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Veeam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Backup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&amp;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Replication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12 a vyšší 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B161B7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2874D62D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CEF7BE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Záruční podmínky a minimální požadovaný rozsah záruky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A7227F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7C2364" w:rsidRPr="007C2364" w14:paraId="097522D9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54937D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Záruka min. 5 roků NBD on-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site</w:t>
            </w:r>
            <w:proofErr w:type="spellEnd"/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4F0157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7864267B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DC6886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Všechny servery budou od jednoho výrobce stejného typu z důvodu zajištění maximální kompatibility a jednotného servisního místa a managementu.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46C437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2364" w:rsidRPr="007C2364" w14:paraId="3A43D68E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525343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Prodávající prohlašuje, že severy a příslušenství jsou určeny k prodeji na českém trhu, jsou nové, nepoužité.</w:t>
            </w:r>
          </w:p>
          <w:p w14:paraId="6F50313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Parametry serveru a záruka bude ověřena na veřejně dostupných webových stránkách výrobce v den dodání zboží.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27CD6A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78AD23D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3B04109" w14:textId="77777777" w:rsidR="007C2364" w:rsidRPr="007C2364" w:rsidRDefault="007C2364" w:rsidP="007C236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BBBA5B4" w14:textId="6C1D0285" w:rsidR="007C2364" w:rsidRPr="007C2364" w:rsidRDefault="00D27392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Prodávající </w:t>
      </w:r>
      <w:r w:rsidR="007C2364" w:rsidRPr="007C2364">
        <w:rPr>
          <w:rFonts w:asciiTheme="minorHAnsi" w:hAnsiTheme="minorHAnsi" w:cstheme="minorHAnsi"/>
          <w:sz w:val="20"/>
          <w:szCs w:val="20"/>
        </w:rPr>
        <w:t>specifikuje výrobce, model, P/N.</w:t>
      </w:r>
    </w:p>
    <w:p w14:paraId="08D09D0C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>Dále uvede, jestli splňuje požadavky (ano / ne) a popíše, jakým způsobem.</w:t>
      </w:r>
    </w:p>
    <w:p w14:paraId="462580BE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C8D962" w14:textId="77777777" w:rsidR="007C2364" w:rsidRPr="007C2364" w:rsidRDefault="007C2364" w:rsidP="00E268FE">
      <w:pPr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8" w:name="_Toc200134395"/>
      <w:r w:rsidRPr="007C2364">
        <w:rPr>
          <w:rFonts w:asciiTheme="minorHAnsi" w:hAnsiTheme="minorHAnsi" w:cstheme="minorHAnsi"/>
          <w:b/>
          <w:bCs/>
          <w:sz w:val="20"/>
          <w:szCs w:val="20"/>
        </w:rPr>
        <w:t>Disková pole – zálohování</w:t>
      </w:r>
      <w:bookmarkEnd w:id="8"/>
      <w:r w:rsidRPr="007C2364">
        <w:rPr>
          <w:rFonts w:asciiTheme="minorHAnsi" w:hAnsiTheme="minorHAnsi" w:cstheme="minorHAnsi"/>
          <w:b/>
          <w:bCs/>
          <w:sz w:val="20"/>
          <w:szCs w:val="20"/>
        </w:rPr>
        <w:t xml:space="preserve"> a BCM</w:t>
      </w:r>
    </w:p>
    <w:p w14:paraId="5F484EB4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40041E1" w14:textId="4FD923BD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 xml:space="preserve">Předmětem plnění jsou disková pole, dedikovaná pro potřeby zálohování a obnovy a dalších služeb spojených s obnovou po havárii, s kybernetickou bezpečností a s řízením kontinuity činností. Součástí diskových polí bude diskový 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storage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 xml:space="preserve"> pool, sloužící jako rychlá 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mezipaměť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 xml:space="preserve"> a první úroveň uložení (aktuálních a operativních) verzí záloh. Další kapacita bude využita pro potřeby dlouhodobého ukládání statických dat, klonů, obrazů a 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snapshotů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 xml:space="preserve"> systémů, jako centrální, řízené a zabezpečené úložiště, obsahující oficiální a autorizované verze veškerého softwaru používaného v prostředí </w:t>
      </w:r>
      <w:r w:rsidR="00D27392">
        <w:rPr>
          <w:rFonts w:asciiTheme="minorHAnsi" w:hAnsiTheme="minorHAnsi" w:cstheme="minorHAnsi"/>
          <w:sz w:val="20"/>
          <w:szCs w:val="20"/>
        </w:rPr>
        <w:t>kupujícího</w:t>
      </w:r>
      <w:r w:rsidR="00D27392" w:rsidRPr="007C2364">
        <w:rPr>
          <w:rFonts w:asciiTheme="minorHAnsi" w:hAnsiTheme="minorHAnsi" w:cstheme="minorHAnsi"/>
          <w:sz w:val="20"/>
          <w:szCs w:val="20"/>
        </w:rPr>
        <w:t xml:space="preserve"> </w:t>
      </w:r>
      <w:r w:rsidRPr="007C2364">
        <w:rPr>
          <w:rFonts w:asciiTheme="minorHAnsi" w:hAnsiTheme="minorHAnsi" w:cstheme="minorHAnsi"/>
          <w:sz w:val="20"/>
          <w:szCs w:val="20"/>
        </w:rPr>
        <w:t>a pro ukládání logů.</w:t>
      </w:r>
    </w:p>
    <w:p w14:paraId="48EC438F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 xml:space="preserve">Plnění zahrnuje dvě diskové pole, každé o čisté (tedy bez 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deduplikace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 xml:space="preserve">, komprese apod.), využitelné kapacitě 300TB HDD, se dvěma zastupitelnými kontroléry, z nichž každý disponuje osmi rozhraními pro připojení do SAN (typu FC </w:t>
      </w:r>
      <w:proofErr w:type="gramStart"/>
      <w:r w:rsidRPr="007C2364">
        <w:rPr>
          <w:rFonts w:asciiTheme="minorHAnsi" w:hAnsiTheme="minorHAnsi" w:cstheme="minorHAnsi"/>
          <w:sz w:val="20"/>
          <w:szCs w:val="20"/>
        </w:rPr>
        <w:t>32GB</w:t>
      </w:r>
      <w:proofErr w:type="gramEnd"/>
      <w:r w:rsidRPr="007C2364">
        <w:rPr>
          <w:rFonts w:asciiTheme="minorHAnsi" w:hAnsiTheme="minorHAnsi" w:cstheme="minorHAnsi"/>
          <w:sz w:val="20"/>
          <w:szCs w:val="20"/>
        </w:rPr>
        <w:t xml:space="preserve">) i LAN (typu 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iSCSI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 xml:space="preserve"> 10Gb). V případě potřeby (například nutnost zrychlení 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mezipaměti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 xml:space="preserve"> pro systémy zálohování) musí být dodané diskové pole rozšiřitelné o SSD disky jejich pouhým doplněním, bez nutnosti přidání dalších hardwarových komponent. Disková pole musí být kompatibilní se všemi servery, dodanými v rámci této veřejné zakázky.</w:t>
      </w:r>
    </w:p>
    <w:p w14:paraId="2AE8914E" w14:textId="5DC440E4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 xml:space="preserve">Z důvodu snazší správy požaduje </w:t>
      </w:r>
      <w:r w:rsidR="00D27392">
        <w:rPr>
          <w:rFonts w:asciiTheme="minorHAnsi" w:hAnsiTheme="minorHAnsi" w:cstheme="minorHAnsi"/>
          <w:sz w:val="20"/>
          <w:szCs w:val="20"/>
        </w:rPr>
        <w:t>kupující</w:t>
      </w:r>
      <w:r w:rsidRPr="007C2364">
        <w:rPr>
          <w:rFonts w:asciiTheme="minorHAnsi" w:hAnsiTheme="minorHAnsi" w:cstheme="minorHAnsi"/>
          <w:sz w:val="20"/>
          <w:szCs w:val="20"/>
        </w:rPr>
        <w:t xml:space="preserve">, aby výše uvedené </w:t>
      </w:r>
      <w:r w:rsidRPr="007C2364">
        <w:rPr>
          <w:rFonts w:asciiTheme="minorHAnsi" w:hAnsiTheme="minorHAnsi" w:cstheme="minorHAnsi"/>
          <w:i/>
          <w:iCs/>
          <w:sz w:val="20"/>
          <w:szCs w:val="20"/>
        </w:rPr>
        <w:t>diskové pole – produkční</w:t>
      </w:r>
      <w:r w:rsidRPr="007C2364">
        <w:rPr>
          <w:rFonts w:asciiTheme="minorHAnsi" w:hAnsiTheme="minorHAnsi" w:cstheme="minorHAnsi"/>
          <w:sz w:val="20"/>
          <w:szCs w:val="20"/>
        </w:rPr>
        <w:t xml:space="preserve"> a </w:t>
      </w:r>
      <w:r w:rsidRPr="007C2364">
        <w:rPr>
          <w:rFonts w:asciiTheme="minorHAnsi" w:hAnsiTheme="minorHAnsi" w:cstheme="minorHAnsi"/>
          <w:i/>
          <w:iCs/>
          <w:sz w:val="20"/>
          <w:szCs w:val="20"/>
        </w:rPr>
        <w:t>disková pole – zálohování a BCM</w:t>
      </w:r>
      <w:r w:rsidRPr="007C2364">
        <w:rPr>
          <w:rFonts w:asciiTheme="minorHAnsi" w:hAnsiTheme="minorHAnsi" w:cstheme="minorHAnsi"/>
          <w:sz w:val="20"/>
          <w:szCs w:val="20"/>
        </w:rPr>
        <w:t xml:space="preserve"> pocházela od stejného výrobce, jejich konfigurace a správa probíhala stejným způsobem a aby byla připojitelná pod jeden unifikovaný nástroj pro správu a dohled hardwaru. Vyžaduje-li splnění posledního uvedeného požadavku separátní licenci, musí být tato součástí poskytnutého plnění.</w:t>
      </w:r>
    </w:p>
    <w:p w14:paraId="371B1456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>Jedno každé diskové pole musí splňovat následující minimální technické požadavky:</w:t>
      </w:r>
    </w:p>
    <w:p w14:paraId="24E7E728" w14:textId="77777777" w:rsidR="007C2364" w:rsidRPr="007C2364" w:rsidRDefault="007C2364" w:rsidP="007C236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0"/>
        <w:gridCol w:w="1135"/>
      </w:tblGrid>
      <w:tr w:rsidR="007C2364" w:rsidRPr="007C2364" w14:paraId="4549C931" w14:textId="77777777" w:rsidTr="004F4E49"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F9BC10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Diskové pole – zálohování a BCM (2 ks)</w:t>
            </w:r>
          </w:p>
        </w:tc>
      </w:tr>
      <w:tr w:rsidR="007C2364" w:rsidRPr="007C2364" w14:paraId="49EC6E0A" w14:textId="77777777" w:rsidTr="004F4E49">
        <w:tc>
          <w:tcPr>
            <w:tcW w:w="90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AB842E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Výrobce:</w:t>
            </w:r>
          </w:p>
        </w:tc>
      </w:tr>
      <w:tr w:rsidR="007C2364" w:rsidRPr="007C2364" w14:paraId="3C85CE0F" w14:textId="77777777" w:rsidTr="004F4E49"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E465DB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Model:</w:t>
            </w:r>
          </w:p>
        </w:tc>
      </w:tr>
      <w:tr w:rsidR="007C2364" w:rsidRPr="007C2364" w14:paraId="2B01D77E" w14:textId="77777777" w:rsidTr="004F4E49"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43EDF1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P/N:</w:t>
            </w:r>
          </w:p>
        </w:tc>
      </w:tr>
      <w:tr w:rsidR="004F4E49" w:rsidRPr="007C2364" w14:paraId="5E1C72CC" w14:textId="77777777" w:rsidTr="004F4E49"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0B006F" w14:textId="1D871496" w:rsidR="004F4E49" w:rsidRPr="007C2364" w:rsidRDefault="004F4E49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Cena:</w:t>
            </w:r>
          </w:p>
        </w:tc>
      </w:tr>
      <w:tr w:rsidR="007C2364" w:rsidRPr="007C2364" w14:paraId="1D138C32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0B4B7BF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Technický parametr / Funkce a jeho požadovaná minimální hodnota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FF9CBF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7C2364" w:rsidRPr="007C2364" w14:paraId="28BCC11E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1F60CA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Diskové pole, provedení do 19" skříně, 2U na polici, s redundantními řadiči pracujícími v režimu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active-active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. Celková paměť na řadičích musí být min. </w:t>
            </w:r>
            <w:proofErr w:type="gram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64GB</w:t>
            </w:r>
            <w:proofErr w:type="gram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. Požadovaná čistá disková kapacita 300TB bez jakýchkoli redukčních algoritmů.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74F4FFF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483E7EA2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C49651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Pole musí být vybaveno rozhraním FC pro komunikaci s hosty s min. 4 porty na řadič o rychlosti 16/32Gbit FC a dvěma porty 10/25Gb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iSCSI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na řadič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6B7121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680FC265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08CEB1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Diskové pole musí podporovat generaci SAS disků 12Gb nebo vyšší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9247E5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6616EE59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FA18105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Cache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paměť musí být zálohována (bateriemi, vysokokapacitními kondenzátory nebo podobnou technologií)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1DF7EF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093F27D1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8C2A8A5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Pole musí být vysoce dostupné a podporovat přidávání a náhradu disků za běhu, mít redundantní řadiče, napájení a ventilátory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ECC936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0B3B8F70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6E7314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Požadujeme podporu těchto RAID geometrií: 1, 5, 6 a 10 a distribuovaný RAID nebo ekvivalent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E5B2F8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7902F520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6FA682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Pole by mělo umožňovat vytvoření alespoň 512 logických disků (LUN).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793C1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5FDCE56C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182C45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 dodané konfiguraci diskového pole musí být možno kombinovat SAS a SSD disky bez omezení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0B3E174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154F59BC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85A541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Pole musí být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být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škálovatelné na více než 96 disků.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C599FA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4FDA5428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0324975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Pole musí podporovat SSD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read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Cache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pro akceleraci čtecího výkonu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38BDE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3D6C5A7D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5DB6B6F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Pole podporuje a má plně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zalicencovanou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funkcionalitu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Thin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Provisioningu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včetně podpory T-10 SCSI UNMAP funkcionality na celou kapacitu pole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B5403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2122C527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0D83A3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Požadujeme dodání funkcionality s měřením výkonnosti na úrovni jednotlivých komponent pole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23E0A6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0DAD776B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DF2281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Podporovat asynchronní replikace prostředky diskového pole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DF7FCE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1D12129C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2CB0D6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Pole musí umět nastavit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spare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disky dedikované (pro určitou RAID skupinu) i globální pro celé pole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2CCFCF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6DD724E4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960B3F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Pole podporuje standardy typu MPIO pro připojení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LUNů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více cestami. Pokud je k tomu zapotřebí specializovaný SW, požadujeme přiložit licence pro neomezený počet serverů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E463D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79FAB6B2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1AF2D5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Podpora min následujících OS:</w:t>
            </w:r>
          </w:p>
          <w:p w14:paraId="686B862C" w14:textId="77777777" w:rsidR="007C2364" w:rsidRPr="007C2364" w:rsidRDefault="007C2364" w:rsidP="00E268FE">
            <w:pPr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Windows Server min. 2019 a vyšší</w:t>
            </w:r>
          </w:p>
          <w:p w14:paraId="000733E9" w14:textId="77777777" w:rsidR="007C2364" w:rsidRPr="007C2364" w:rsidRDefault="007C2364" w:rsidP="00E268FE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vSphere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7.X, 8.X a vyšší</w:t>
            </w:r>
          </w:p>
          <w:p w14:paraId="2F5F10AB" w14:textId="77777777" w:rsidR="007C2364" w:rsidRPr="007C2364" w:rsidRDefault="007C2364" w:rsidP="00E268FE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Ubuntu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24.04 LTS a vyšší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0F2B3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318975CD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23FCE7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Pole musí být možné spravovat i z 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vCenter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rozhraní (vytváření nových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datastore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templates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apod.)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4E0723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46172F68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179159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Ostatní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D3CF1D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7C2364" w:rsidRPr="007C2364" w14:paraId="30347B8C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2828DC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Záruka minimálně 5 let NBD – 24 x 7 on-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site</w:t>
            </w:r>
            <w:proofErr w:type="spellEnd"/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584BC3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69A0068F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87468DF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Nesmí po dobu 7 let přejít do režimu konce podpory.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E829FF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5999C536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B287D8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Všechna potřebná kabeláž musí být součástí dodávky včetně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rail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kitu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do racku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B63AAB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52C24486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B2F9D6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Dodání včetně FC MM transceiverů min. 4x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CB7659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7158C7F0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1CBB8B4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Pole je kompatibilní se všemi servery, dodanými v rámci této veřejné zakázky. Pole je možné pro potřeby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troubleshootingu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propojit s nástroji pro management a dohled serverů.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F7973B4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42524ED2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5FB233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Součástí dodávky budou veškeré potřebné licence nezbytné k provozu v infrastruktuře, včetně případného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zalicencování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nástrojů pro management a dohled.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82FDE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03724A14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AA69CF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Disková pole – zálohování a BCM jsou od stejného výrobce jako diskové pole – produkční; jejich konfigurace a správa probíhá stejným způsobem.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4E07EEF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909E08" w14:textId="77777777" w:rsidR="007C2364" w:rsidRPr="007C2364" w:rsidRDefault="007C2364" w:rsidP="007C236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10B7EA9" w14:textId="7B43C95C" w:rsidR="007C2364" w:rsidRPr="007C2364" w:rsidRDefault="00D27392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Prodávající </w:t>
      </w:r>
      <w:r w:rsidR="007C2364" w:rsidRPr="007C2364">
        <w:rPr>
          <w:rFonts w:asciiTheme="minorHAnsi" w:hAnsiTheme="minorHAnsi" w:cstheme="minorHAnsi"/>
          <w:sz w:val="20"/>
          <w:szCs w:val="20"/>
        </w:rPr>
        <w:t>specifikuje výrobce, model, P/N.</w:t>
      </w:r>
    </w:p>
    <w:p w14:paraId="0106E680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>Dále uvede, jestli splňuje požadavky (ano / ne) a popíše, jakým způsobem.</w:t>
      </w:r>
    </w:p>
    <w:p w14:paraId="00C56C75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DE8193" w14:textId="77777777" w:rsidR="007C2364" w:rsidRPr="007C2364" w:rsidRDefault="007C2364" w:rsidP="00E268FE">
      <w:pPr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9" w:name="_Toc200134396"/>
      <w:r w:rsidRPr="007C2364">
        <w:rPr>
          <w:rFonts w:asciiTheme="minorHAnsi" w:hAnsiTheme="minorHAnsi" w:cstheme="minorHAnsi"/>
          <w:b/>
          <w:bCs/>
          <w:sz w:val="20"/>
          <w:szCs w:val="20"/>
        </w:rPr>
        <w:t>Zálohovací pásková knihovna</w:t>
      </w:r>
      <w:bookmarkEnd w:id="9"/>
    </w:p>
    <w:p w14:paraId="631DA4CD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348271A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lastRenderedPageBreak/>
        <w:t xml:space="preserve">Předmětem plnění je pásková knihovna, která bude součástí zálohovacího řešení především pro potřeby dlouhodobé archivace dat, dosažení nízkých nákladů na uložení velkých objemů dat, zvýšené odolnosti vůči kybernetickým hrozbám, zejména 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ransomwaru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 xml:space="preserve">, a v neposlední řadě pro potřeby 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offline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 xml:space="preserve"> rotace a 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offline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 xml:space="preserve"> uložení záloh pro potřeby BCM a obnovy po havárii velkého rozsahu.</w:t>
      </w:r>
    </w:p>
    <w:p w14:paraId="0210CB58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955999B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 xml:space="preserve">Plnění zahrnuje jednu páskovou knihovnu typu LTO-8 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Ultrium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>.</w:t>
      </w:r>
    </w:p>
    <w:p w14:paraId="43F2A758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0ABD93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>Zařízení musí splňovat následující minimální technické požadavky:</w:t>
      </w: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0"/>
        <w:gridCol w:w="1135"/>
      </w:tblGrid>
      <w:tr w:rsidR="007C2364" w:rsidRPr="007C2364" w14:paraId="2458BB9C" w14:textId="77777777" w:rsidTr="004F4E49"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A178BB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Zálohovací pásková knihovna (1 ks)</w:t>
            </w:r>
          </w:p>
        </w:tc>
      </w:tr>
      <w:tr w:rsidR="007C2364" w:rsidRPr="007C2364" w14:paraId="67B3A2DD" w14:textId="77777777" w:rsidTr="004F4E49">
        <w:tc>
          <w:tcPr>
            <w:tcW w:w="90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B22235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Výrobce:</w:t>
            </w:r>
          </w:p>
        </w:tc>
      </w:tr>
      <w:tr w:rsidR="007C2364" w:rsidRPr="007C2364" w14:paraId="3ACDB288" w14:textId="77777777" w:rsidTr="004F4E49">
        <w:tc>
          <w:tcPr>
            <w:tcW w:w="90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17BF0B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Model:</w:t>
            </w:r>
          </w:p>
        </w:tc>
      </w:tr>
      <w:tr w:rsidR="007C2364" w:rsidRPr="007C2364" w14:paraId="3BC6E8B2" w14:textId="77777777" w:rsidTr="004F4E49">
        <w:tc>
          <w:tcPr>
            <w:tcW w:w="90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046EB8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P/N:</w:t>
            </w:r>
          </w:p>
        </w:tc>
      </w:tr>
      <w:tr w:rsidR="004F4E49" w:rsidRPr="007C2364" w14:paraId="01F6161D" w14:textId="77777777" w:rsidTr="004F4E49">
        <w:tc>
          <w:tcPr>
            <w:tcW w:w="90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4EFE378" w14:textId="3E79E818" w:rsidR="004F4E49" w:rsidRPr="007C2364" w:rsidRDefault="004F4E49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</w:t>
            </w:r>
          </w:p>
        </w:tc>
      </w:tr>
      <w:tr w:rsidR="007C2364" w:rsidRPr="007C2364" w14:paraId="3EC0624C" w14:textId="77777777" w:rsidTr="004F4E49">
        <w:tc>
          <w:tcPr>
            <w:tcW w:w="7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8D9CD2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Technický parametr / Funkce a jeho požadovaná minimální hodnota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6A04D4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7C2364" w:rsidRPr="007C2364" w14:paraId="2684E1DD" w14:textId="77777777" w:rsidTr="004F4E49">
        <w:tc>
          <w:tcPr>
            <w:tcW w:w="7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587D37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Rackmount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, včetně montážního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kitu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do standardního 19" racku</w:t>
            </w:r>
          </w:p>
          <w:p w14:paraId="76C8CF4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základní jednotka max. 3U</w:t>
            </w:r>
          </w:p>
          <w:p w14:paraId="10C5B10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redundantní napájecí zdroje</w:t>
            </w:r>
          </w:p>
          <w:p w14:paraId="0B258E0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čelní panel s informací o stavu</w:t>
            </w:r>
          </w:p>
          <w:p w14:paraId="3AC72BC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kabely a moduly potřebné na propojení se serverem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E7BE8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35F3036D" w14:textId="77777777" w:rsidTr="004F4E49">
        <w:tc>
          <w:tcPr>
            <w:tcW w:w="7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2D9A43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1x LTO-8 drive</w:t>
            </w:r>
          </w:p>
          <w:p w14:paraId="027CBB8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podpora až 21 LTO mechanik</w:t>
            </w:r>
          </w:p>
          <w:p w14:paraId="0632E7B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Požadovaná propustnost min. 8Gb/s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9EFF76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30B75C87" w14:textId="77777777" w:rsidTr="004F4E49">
        <w:tc>
          <w:tcPr>
            <w:tcW w:w="7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6D72F0F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min. 40 slotů v základní jednotce</w:t>
            </w:r>
          </w:p>
          <w:p w14:paraId="483530B5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možnost rozšíření knihovny až na 280 slotů, max. 21U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B9A7CE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7A947FF0" w14:textId="77777777" w:rsidTr="004F4E49">
        <w:tc>
          <w:tcPr>
            <w:tcW w:w="7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565650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24x LTO-8 páskové médium</w:t>
            </w:r>
          </w:p>
          <w:p w14:paraId="1DE0DFE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24x label</w:t>
            </w:r>
          </w:p>
          <w:p w14:paraId="56F9B8F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2x LTO čisticí médium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3AC49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2E47F64B" w14:textId="77777777" w:rsidTr="004F4E49">
        <w:tc>
          <w:tcPr>
            <w:tcW w:w="7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DFD050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Podpora šifrování dat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EB7050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60B2BF9B" w14:textId="77777777" w:rsidTr="004F4E49">
        <w:tc>
          <w:tcPr>
            <w:tcW w:w="7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9C0698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Min. 5 let na kompletní HW, max. odezva NBD on-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site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po nahlášení problému</w:t>
            </w:r>
          </w:p>
          <w:p w14:paraId="059DF29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jediné kontaktní místo pro nahlášení poruch pro všechny komponenty dodávaného systému</w:t>
            </w:r>
          </w:p>
          <w:p w14:paraId="177005F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Servis je poskytován přímo výrobcem zařízení nebo certifikovaným servisním partnerem</w:t>
            </w:r>
          </w:p>
          <w:p w14:paraId="3FA275CE" w14:textId="1CC3D663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Servisní zásahy budou prováděny vždy v místě instalace zařízení. Nabízené zařízení musí být pokryto oficiální podporou výrobce tak, aby v případě závady, kterou není </w:t>
            </w:r>
            <w:r w:rsidR="00D27392">
              <w:rPr>
                <w:rFonts w:asciiTheme="minorHAnsi" w:hAnsiTheme="minorHAnsi" w:cstheme="minorHAnsi"/>
                <w:sz w:val="20"/>
                <w:szCs w:val="20"/>
              </w:rPr>
              <w:t>prodávající</w:t>
            </w:r>
            <w:r w:rsidR="00D27392"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schopen odstranit, mohl </w:t>
            </w:r>
            <w:r w:rsidR="00D27392">
              <w:rPr>
                <w:rFonts w:asciiTheme="minorHAnsi" w:hAnsiTheme="minorHAnsi" w:cstheme="minorHAnsi"/>
                <w:sz w:val="20"/>
                <w:szCs w:val="20"/>
              </w:rPr>
              <w:t xml:space="preserve">kupující </w:t>
            </w: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tuto závadu eskalovat přímo k technické podpoře výrobce zařízení</w:t>
            </w:r>
          </w:p>
          <w:p w14:paraId="568E30D5" w14:textId="0F927975" w:rsidR="007C2364" w:rsidRPr="007C2364" w:rsidRDefault="00D27392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Kupující </w:t>
            </w:r>
            <w:r w:rsidR="007C2364" w:rsidRPr="007C2364">
              <w:rPr>
                <w:rFonts w:asciiTheme="minorHAnsi" w:hAnsiTheme="minorHAnsi" w:cstheme="minorHAnsi"/>
                <w:sz w:val="20"/>
                <w:szCs w:val="20"/>
              </w:rPr>
              <w:t>musí mít možnost si sám legálně stahovat bezpečnostní záplaty i nové verze Software/Firmware pro nabízené zařízení přímo ze stránek výrobce zařízení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7F442C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32D58F35" w14:textId="77777777" w:rsidTr="004F4E49">
        <w:tc>
          <w:tcPr>
            <w:tcW w:w="7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46D8C0D" w14:textId="58CC4742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Jsou splněny „Požadavky na certifikaci </w:t>
            </w:r>
            <w:r w:rsidR="00D27392">
              <w:rPr>
                <w:rFonts w:asciiTheme="minorHAnsi" w:hAnsiTheme="minorHAnsi" w:cstheme="minorHAnsi"/>
                <w:sz w:val="20"/>
                <w:szCs w:val="20"/>
              </w:rPr>
              <w:t xml:space="preserve">prodávajícího </w:t>
            </w: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HW a původ zboží“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9A2BA65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237A1615" w14:textId="77777777" w:rsidTr="004F4E49">
        <w:tc>
          <w:tcPr>
            <w:tcW w:w="7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5E3A7E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Pásková knihovna bude plně kompatibilní se zálohovacími řešeními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Spectrum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Protect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Veeam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Backup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&amp;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Replication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12 a vyšší 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9AD96A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1BFDEADF" w14:textId="77777777" w:rsidTr="004F4E49">
        <w:tc>
          <w:tcPr>
            <w:tcW w:w="7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DADF60D" w14:textId="0D5A56A4" w:rsidR="007C2364" w:rsidRPr="007C2364" w:rsidRDefault="00D27392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Prodávající </w:t>
            </w:r>
            <w:r w:rsidR="007C2364" w:rsidRPr="007C2364">
              <w:rPr>
                <w:rFonts w:asciiTheme="minorHAnsi" w:hAnsiTheme="minorHAnsi" w:cstheme="minorHAnsi"/>
                <w:sz w:val="20"/>
                <w:szCs w:val="20"/>
              </w:rPr>
              <w:t>prohlašuje, že pásková knihovna a příslušenství jsou určeny k prodeji na českém trhu, jsou nové, nepoužité.</w:t>
            </w:r>
          </w:p>
          <w:p w14:paraId="35C5231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Parametry páskové knihovny a záruka bude ověřena na veřejně dostupných webových stránkách výrobce v den dodání zboží.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6DF34E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7283C22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D97DD5C" w14:textId="44BABD86" w:rsidR="007C2364" w:rsidRPr="007C2364" w:rsidRDefault="00D27392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Prodávající </w:t>
      </w:r>
      <w:r w:rsidR="007C2364" w:rsidRPr="007C2364">
        <w:rPr>
          <w:rFonts w:asciiTheme="minorHAnsi" w:hAnsiTheme="minorHAnsi" w:cstheme="minorHAnsi"/>
          <w:sz w:val="20"/>
          <w:szCs w:val="20"/>
        </w:rPr>
        <w:t>specifikuje výrobce, model, P/N.</w:t>
      </w:r>
    </w:p>
    <w:p w14:paraId="2613F9C0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lastRenderedPageBreak/>
        <w:t>Dále uvede, jestli splňuje požadavky (ano / ne) a popíše, jakým způsobem.</w:t>
      </w:r>
    </w:p>
    <w:p w14:paraId="676100BB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65F8CD" w14:textId="77777777" w:rsidR="007C2364" w:rsidRPr="007C2364" w:rsidRDefault="007C2364" w:rsidP="00E268FE">
      <w:pPr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10" w:name="_Toc200134397"/>
      <w:r w:rsidRPr="007C2364">
        <w:rPr>
          <w:rFonts w:asciiTheme="minorHAnsi" w:hAnsiTheme="minorHAnsi" w:cstheme="minorHAnsi"/>
          <w:b/>
          <w:bCs/>
          <w:sz w:val="20"/>
          <w:szCs w:val="20"/>
        </w:rPr>
        <w:t>Zálohování lokálních stanic – centrální</w:t>
      </w:r>
      <w:bookmarkEnd w:id="10"/>
      <w:r w:rsidRPr="007C2364">
        <w:rPr>
          <w:rFonts w:asciiTheme="minorHAnsi" w:hAnsiTheme="minorHAnsi" w:cstheme="minorHAnsi"/>
          <w:b/>
          <w:bCs/>
          <w:sz w:val="20"/>
          <w:szCs w:val="20"/>
        </w:rPr>
        <w:t xml:space="preserve"> prvek a úložiště</w:t>
      </w:r>
    </w:p>
    <w:p w14:paraId="56069568" w14:textId="77777777" w:rsidR="007C2364" w:rsidRPr="007C2364" w:rsidRDefault="007C2364" w:rsidP="007C236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59E94D1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 xml:space="preserve">Předmětem plnění je zařízení umožňující zálohování vybraných lokálních pracovních stanic za účelem prevence ztráty uživatelských dat, neuložených na centrálních úložištích nebo v informačních systémech, v případě selhání hardwaru, chyby uživatele, ransomwarového útoku nebo jiné havárie.  </w:t>
      </w:r>
    </w:p>
    <w:p w14:paraId="3FBFEE31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 xml:space="preserve">Plnění zahrnuje jedno diskové úložiště typu NAS o čisté (tedy bez 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deduplikace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 xml:space="preserve">, komprese apod.), využitelné kapacitě 40 TB HDD, nasazené současně pro ukládání záloh a současně jako centrální řídící prvek, disponující prostředky pro 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deduplikaci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 xml:space="preserve"> a šifrování, podporující agent-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based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 xml:space="preserve"> zálohování klientské stanice en </w:t>
      </w:r>
      <w:proofErr w:type="spellStart"/>
      <w:r w:rsidRPr="007C2364">
        <w:rPr>
          <w:rFonts w:asciiTheme="minorHAnsi" w:hAnsiTheme="minorHAnsi" w:cstheme="minorHAnsi"/>
          <w:sz w:val="20"/>
          <w:szCs w:val="20"/>
        </w:rPr>
        <w:t>block</w:t>
      </w:r>
      <w:proofErr w:type="spellEnd"/>
      <w:r w:rsidRPr="007C2364">
        <w:rPr>
          <w:rFonts w:asciiTheme="minorHAnsi" w:hAnsiTheme="minorHAnsi" w:cstheme="minorHAnsi"/>
          <w:sz w:val="20"/>
          <w:szCs w:val="20"/>
        </w:rPr>
        <w:t xml:space="preserve"> i vybraných složek a umožňující centrální plánování záloh, času i typu.</w:t>
      </w:r>
    </w:p>
    <w:p w14:paraId="4121A697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>Zařízení musí splňovat následující minimální technické požadavky:</w:t>
      </w: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0"/>
        <w:gridCol w:w="1135"/>
      </w:tblGrid>
      <w:tr w:rsidR="007C2364" w:rsidRPr="007C2364" w14:paraId="1187762C" w14:textId="77777777" w:rsidTr="004F4E49"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300D21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Zálohování lokálních stanic – centrální prvek a úložiště (1 ks)</w:t>
            </w:r>
          </w:p>
        </w:tc>
      </w:tr>
      <w:tr w:rsidR="007C2364" w:rsidRPr="007C2364" w14:paraId="20F5606D" w14:textId="77777777" w:rsidTr="004F4E49">
        <w:tc>
          <w:tcPr>
            <w:tcW w:w="90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4CD3EF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Výrobce:</w:t>
            </w:r>
          </w:p>
        </w:tc>
      </w:tr>
      <w:tr w:rsidR="007C2364" w:rsidRPr="007C2364" w14:paraId="6D632519" w14:textId="77777777" w:rsidTr="004F4E49"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080EF2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Model:</w:t>
            </w:r>
          </w:p>
        </w:tc>
      </w:tr>
      <w:tr w:rsidR="007C2364" w:rsidRPr="007C2364" w14:paraId="18970CF0" w14:textId="77777777" w:rsidTr="004F4E49"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F9314F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P/N:</w:t>
            </w:r>
          </w:p>
        </w:tc>
      </w:tr>
      <w:tr w:rsidR="004F4E49" w:rsidRPr="007C2364" w14:paraId="62B8408B" w14:textId="77777777" w:rsidTr="004F4E49"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65AD5B" w14:textId="4F93E699" w:rsidR="004F4E49" w:rsidRPr="007C2364" w:rsidRDefault="004F4E49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Cena:</w:t>
            </w:r>
          </w:p>
        </w:tc>
      </w:tr>
      <w:tr w:rsidR="007C2364" w:rsidRPr="007C2364" w14:paraId="1E2146EA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5D80D2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Technický parametr / Funkce a jeho požadovaná minimální hodnota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C7E8E2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7C2364" w:rsidRPr="007C2364" w14:paraId="7FA243DA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DAA4E8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Diskové </w:t>
            </w:r>
            <w:proofErr w:type="gram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pole - NAS</w:t>
            </w:r>
            <w:proofErr w:type="gram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, provedení do 19" skříně, 2U na polici.</w:t>
            </w:r>
          </w:p>
          <w:p w14:paraId="0992A05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Celková paměť na řadičích musí být min. </w:t>
            </w:r>
            <w:proofErr w:type="gram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8GB</w:t>
            </w:r>
            <w:proofErr w:type="gram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RAM paměť DDR4, která je rozšiřitelná na 32 GB.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91E6F5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15364FFF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F120DF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Čistá disková kapacita: 40TB, osazeno min. </w:t>
            </w:r>
            <w:proofErr w:type="gram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6-ti</w:t>
            </w:r>
            <w:proofErr w:type="gram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disky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AD80E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26442C66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FA7A0B5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Podporované typy disků: 2,5" SATA SSD, 3,5" SATA HDD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CCD2D0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02CDF77F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067FEE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Rozšiřitelnost: min. </w:t>
            </w:r>
            <w:proofErr w:type="gram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12-ti</w:t>
            </w:r>
            <w:proofErr w:type="gram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disky</w:t>
            </w:r>
          </w:p>
          <w:p w14:paraId="50AAA01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Disky vyměnitelné za provozu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CCC405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2C74B1A9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29C701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Rychlost čtení min. 3500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MB/s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a rychlost zápisu dat dosahuje min. 1700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MB/s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68521F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17E0266D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3D06B5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Rozhraní RJ-45 10GbE LAN port, 2x 1Gb LAN,</w:t>
            </w:r>
          </w:p>
          <w:p w14:paraId="3DB21B34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2× USB 3.2 Gen 1 (USB 3.0) a 1×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PCiE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4CA81B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10D0C343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D2ED355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RAID 0+1, RAID 10 (1+0), RAID 5, RAID 6,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6E0C0A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559BF445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3DF9CD5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Redundantní a za provozu vyměnitelné jednotky napájecích zdrojů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49079C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0E6E2D7C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AF6F160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Z důvodu úspory energie pole musí umět automaticky vypínat disky po určité (nastavitelné) době nečinnosti (Disk spin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down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96E8CF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6DB4C03B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3D3B12F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Požadavky na zálohovacího agenta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B41285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7C2364" w:rsidRPr="007C2364" w14:paraId="2D7A6561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A3F8D9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Zálohování pracovních stanic probíhá s pomocí lokálního agenta, konfigurace zálohovaní je na straně zařízení.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27EB4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65ED551C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B8FF88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Aktualizaci agenta lze provádět přímo ze zařízení.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3D5B8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39F7543C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CE6F1CE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Agent podporuje kompresi, šifrování dat a omezení šířky pásma během přenosu, server kompresi uložených záloh.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D7557D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69CE4ECB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06741A2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Agent během zálohování umí zabránit usínání zařízení a pokud záloha selže, umí ji znovu iniciovat v jiném čase.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44DDAC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6A11A227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AB1A793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Na straně centrálního úložiště lze definovat zálohovací politiku.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C76867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72C782CF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186960C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Podpora min následujících OS:</w:t>
            </w:r>
          </w:p>
          <w:p w14:paraId="63372911" w14:textId="77777777" w:rsidR="007C2364" w:rsidRPr="007C2364" w:rsidRDefault="007C2364" w:rsidP="00E268FE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MS Windows 10, 11 a vyšší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62F61CB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25A1C916" w14:textId="77777777" w:rsidTr="004F4E49">
        <w:tc>
          <w:tcPr>
            <w:tcW w:w="7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AF225C6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Ostatní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6A01064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7C2364" w:rsidRPr="007C2364" w14:paraId="568210EE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AAC1507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Součástí dodávky budou veškeré potřebné licence nezbytné k provozu v infrastruktuře.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AF84AF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53BBFA6C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6D04EC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Všechna potřebná kabeláž musí být součástí dodávky včetně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rail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kitu</w:t>
            </w:r>
            <w:proofErr w:type="spellEnd"/>
            <w:r w:rsidRPr="007C2364">
              <w:rPr>
                <w:rFonts w:asciiTheme="minorHAnsi" w:hAnsiTheme="minorHAnsi" w:cstheme="minorHAnsi"/>
                <w:sz w:val="20"/>
                <w:szCs w:val="20"/>
              </w:rPr>
              <w:t xml:space="preserve"> do racku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06A2938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364" w:rsidRPr="007C2364" w14:paraId="25E9354A" w14:textId="77777777" w:rsidTr="004F4E49"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D82DA19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sz w:val="20"/>
                <w:szCs w:val="20"/>
              </w:rPr>
              <w:t>Záruka minimálně 5 let NBD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F5DB41" w14:textId="77777777" w:rsidR="007C2364" w:rsidRPr="007C2364" w:rsidRDefault="007C2364" w:rsidP="007C23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AE2834" w14:textId="77777777" w:rsidR="007C2364" w:rsidRPr="007C23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A49484D" w14:textId="0E2401E5" w:rsidR="007C2364" w:rsidRPr="007C2364" w:rsidRDefault="00D27392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Prodávající </w:t>
      </w:r>
      <w:r w:rsidR="007C2364" w:rsidRPr="007C2364">
        <w:rPr>
          <w:rFonts w:asciiTheme="minorHAnsi" w:hAnsiTheme="minorHAnsi" w:cstheme="minorHAnsi"/>
          <w:sz w:val="20"/>
          <w:szCs w:val="20"/>
        </w:rPr>
        <w:t>specifikuje výrobce, model, P/N.</w:t>
      </w:r>
    </w:p>
    <w:p w14:paraId="392EA47C" w14:textId="6867A416" w:rsidR="00535D64" w:rsidRDefault="007C2364" w:rsidP="007C2364">
      <w:pPr>
        <w:jc w:val="both"/>
        <w:rPr>
          <w:rFonts w:asciiTheme="minorHAnsi" w:hAnsiTheme="minorHAnsi" w:cstheme="minorHAnsi"/>
          <w:sz w:val="20"/>
          <w:szCs w:val="20"/>
        </w:rPr>
      </w:pPr>
      <w:r w:rsidRPr="007C2364">
        <w:rPr>
          <w:rFonts w:asciiTheme="minorHAnsi" w:hAnsiTheme="minorHAnsi" w:cstheme="minorHAnsi"/>
          <w:sz w:val="20"/>
          <w:szCs w:val="20"/>
        </w:rPr>
        <w:t>Dále uvede, jestli splňuje požadavky (ano / ne) a popíše, jakým způsobem.</w:t>
      </w:r>
    </w:p>
    <w:p w14:paraId="6C87BE36" w14:textId="5FA7E252" w:rsidR="007C2364" w:rsidRPr="007C2364" w:rsidRDefault="007C2364" w:rsidP="007C2364">
      <w:pPr>
        <w:spacing w:line="28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C2364">
        <w:rPr>
          <w:rFonts w:asciiTheme="minorHAnsi" w:hAnsiTheme="minorHAnsi" w:cstheme="minorHAnsi"/>
          <w:bCs/>
          <w:sz w:val="20"/>
          <w:szCs w:val="20"/>
        </w:rPr>
        <w:t xml:space="preserve">Požadavky </w:t>
      </w:r>
      <w:r w:rsidR="00D27392">
        <w:rPr>
          <w:rFonts w:asciiTheme="minorHAnsi" w:hAnsiTheme="minorHAnsi" w:cstheme="minorHAnsi"/>
          <w:sz w:val="20"/>
          <w:szCs w:val="20"/>
        </w:rPr>
        <w:t>kupujícího</w:t>
      </w:r>
      <w:r w:rsidR="00D27392" w:rsidRPr="007C236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C2364">
        <w:rPr>
          <w:rFonts w:asciiTheme="minorHAnsi" w:hAnsiTheme="minorHAnsi" w:cstheme="minorHAnsi"/>
          <w:bCs/>
          <w:sz w:val="20"/>
          <w:szCs w:val="20"/>
        </w:rPr>
        <w:t>na provedení implementace:</w:t>
      </w: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0"/>
        <w:gridCol w:w="1135"/>
      </w:tblGrid>
      <w:tr w:rsidR="007C2364" w:rsidRPr="007C2364" w14:paraId="427BBA13" w14:textId="77777777" w:rsidTr="004F4E49"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E9919B3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Implementační práce – IT </w:t>
            </w:r>
            <w:proofErr w:type="spellStart"/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Delivery</w:t>
            </w:r>
            <w:proofErr w:type="spellEnd"/>
          </w:p>
        </w:tc>
      </w:tr>
      <w:tr w:rsidR="004F4E49" w:rsidRPr="007C2364" w14:paraId="23FD05C5" w14:textId="77777777" w:rsidTr="004F4E49"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1DB031" w14:textId="5C94AE5B" w:rsidR="004F4E49" w:rsidRPr="007C2364" w:rsidRDefault="004F4E49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Cena:</w:t>
            </w:r>
          </w:p>
        </w:tc>
      </w:tr>
      <w:tr w:rsidR="007C2364" w:rsidRPr="007C2364" w14:paraId="2D06DFDA" w14:textId="77777777" w:rsidTr="004F4E49">
        <w:tc>
          <w:tcPr>
            <w:tcW w:w="7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F9E40C6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Požadavky na provedení implementace a předání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527A58D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/ Ne</w:t>
            </w:r>
          </w:p>
        </w:tc>
      </w:tr>
      <w:tr w:rsidR="007C2364" w:rsidRPr="007C2364" w14:paraId="57554703" w14:textId="77777777" w:rsidTr="004F4E49">
        <w:tc>
          <w:tcPr>
            <w:tcW w:w="7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BC66890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Komplexní a úplné zajištění procesu IT </w:t>
            </w:r>
            <w:proofErr w:type="spellStart"/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>Delivery</w:t>
            </w:r>
            <w:proofErr w:type="spellEnd"/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 rámci očekávané pracnosti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A64943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C2364" w:rsidRPr="007C2364" w14:paraId="3DFF5D1D" w14:textId="77777777" w:rsidTr="004F4E49">
        <w:tc>
          <w:tcPr>
            <w:tcW w:w="7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D92165A" w14:textId="5AAE596A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Činnosti budou prováděny bez dopadu na stávající provoz </w:t>
            </w:r>
            <w:r w:rsidR="00D27392">
              <w:rPr>
                <w:rFonts w:asciiTheme="minorHAnsi" w:hAnsiTheme="minorHAnsi" w:cstheme="minorHAnsi"/>
                <w:sz w:val="20"/>
                <w:szCs w:val="20"/>
              </w:rPr>
              <w:t>kupujícího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87079D9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C2364" w:rsidRPr="007C2364" w14:paraId="2BDBB782" w14:textId="77777777" w:rsidTr="004F4E49">
        <w:tc>
          <w:tcPr>
            <w:tcW w:w="7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8A3EEDD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Provedení </w:t>
            </w:r>
            <w:proofErr w:type="spellStart"/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>předimplementační</w:t>
            </w:r>
            <w:proofErr w:type="spellEnd"/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analýzy a plánování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40F5926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C2364" w:rsidRPr="007C2364" w14:paraId="4A508781" w14:textId="77777777" w:rsidTr="004F4E49">
        <w:tc>
          <w:tcPr>
            <w:tcW w:w="7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71BD29D" w14:textId="4D5A1E7B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Vypracování implementační analýzy a odsouhlasení technického cílového konceptu (TCK), včetně harmonogramu provedení prací, nejpozději do 30 dnů od </w:t>
            </w:r>
            <w:r w:rsidR="00B320FA">
              <w:rPr>
                <w:rFonts w:asciiTheme="minorHAnsi" w:hAnsiTheme="minorHAnsi" w:cstheme="minorHAnsi"/>
                <w:bCs/>
                <w:sz w:val="20"/>
                <w:szCs w:val="20"/>
              </w:rPr>
              <w:t>účinnosti</w:t>
            </w: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smlouvy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16BA973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C2364" w:rsidRPr="007C2364" w14:paraId="47515D74" w14:textId="77777777" w:rsidTr="004F4E49">
        <w:tc>
          <w:tcPr>
            <w:tcW w:w="7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E6B3AE8" w14:textId="6CDAD0EE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Dodávka HW a SW zahrnutých v nabídce, dodávka licencí a </w:t>
            </w:r>
            <w:proofErr w:type="spellStart"/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>zalicencování</w:t>
            </w:r>
            <w:proofErr w:type="spellEnd"/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nejpozději do 75 dnů od </w:t>
            </w:r>
            <w:r w:rsidR="00B320FA">
              <w:rPr>
                <w:rFonts w:asciiTheme="minorHAnsi" w:hAnsiTheme="minorHAnsi" w:cstheme="minorHAnsi"/>
                <w:bCs/>
                <w:sz w:val="20"/>
                <w:szCs w:val="20"/>
              </w:rPr>
              <w:t>účinnosti</w:t>
            </w: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smlouvy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BF7DFE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C2364" w:rsidRPr="007C2364" w14:paraId="67BCBF25" w14:textId="77777777" w:rsidTr="004F4E49">
        <w:tc>
          <w:tcPr>
            <w:tcW w:w="7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77AFF5D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>Aktualizace firmware na nejnovější verzi dle doporučení výrobce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4A34C8E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C2364" w:rsidRPr="007C2364" w14:paraId="598C4B64" w14:textId="77777777" w:rsidTr="004F4E49">
        <w:tc>
          <w:tcPr>
            <w:tcW w:w="7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EFDED4B" w14:textId="0BD18093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Úvodní konfigurace, fyzická instalace a zprovoznění technologií v uvedených lokalitách </w:t>
            </w:r>
            <w:r w:rsidR="00D27392">
              <w:rPr>
                <w:rFonts w:asciiTheme="minorHAnsi" w:hAnsiTheme="minorHAnsi" w:cstheme="minorHAnsi"/>
                <w:sz w:val="20"/>
                <w:szCs w:val="20"/>
              </w:rPr>
              <w:t>kupujícího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E8543F0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C2364" w:rsidRPr="007C2364" w14:paraId="69EEC57B" w14:textId="77777777" w:rsidTr="004F4E49">
        <w:tc>
          <w:tcPr>
            <w:tcW w:w="7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635293F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>Provedení implementace a migrace na základě TCK, nejpozději do 120 dnů od uzavření smlouvy, samostatně v oblastech: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07C41A2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C2364" w:rsidRPr="007C2364" w14:paraId="56333709" w14:textId="77777777" w:rsidTr="004F4E49">
        <w:tc>
          <w:tcPr>
            <w:tcW w:w="7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81AF39A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>Serverová infrastruktura (</w:t>
            </w:r>
            <w:proofErr w:type="spellStart"/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>VMware</w:t>
            </w:r>
            <w:proofErr w:type="spellEnd"/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>), bez nutnosti odstávky na straně infrastruktury i migrovaných systémů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D000E59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C2364" w:rsidRPr="007C2364" w14:paraId="600CB180" w14:textId="77777777" w:rsidTr="004F4E49">
        <w:tc>
          <w:tcPr>
            <w:tcW w:w="7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5D331C9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>Serverová infrastruktura (</w:t>
            </w:r>
            <w:proofErr w:type="spellStart"/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>Proxmox</w:t>
            </w:r>
            <w:proofErr w:type="spellEnd"/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>), bez nutnosti odstávky infrastruktury na straně infrastruktury, s možnou odstávkou jednoho každého migrovaného systému maximálně 2 hodiny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2299383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C2364" w:rsidRPr="007C2364" w14:paraId="26550358" w14:textId="77777777" w:rsidTr="004F4E49">
        <w:tc>
          <w:tcPr>
            <w:tcW w:w="7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2025C15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>Diskové pole – produkční, bez nutnosti odstávky na straně infrastruktury i migrovaných systémů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F9370A4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C2364" w:rsidRPr="007C2364" w14:paraId="5C466020" w14:textId="77777777" w:rsidTr="004F4E49">
        <w:tc>
          <w:tcPr>
            <w:tcW w:w="7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66E108D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>Zálohovací servery, s možnou odstávkou za předpokladu, že celková nedostupnost služby zálohování nepřesáhne 4 hodiny v součtu za všechny při implementaci realizované aktivity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77DB2EF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C2364" w:rsidRPr="007C2364" w14:paraId="4E6BA1F1" w14:textId="77777777" w:rsidTr="004F4E49">
        <w:tc>
          <w:tcPr>
            <w:tcW w:w="7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2E29BA5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>Disková pole – zálohování a BCM, s možnou odstávkou za předpokladu, že celková nedostupnost služby zálohování nepřesáhne 4 hodiny v součtu za všechny při implementaci realizované aktivity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79D1A0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C2364" w:rsidRPr="007C2364" w14:paraId="5734447A" w14:textId="77777777" w:rsidTr="004F4E49">
        <w:tc>
          <w:tcPr>
            <w:tcW w:w="7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2308AF2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>Zálohovací pásková knihovna, s možnou odstávkou za předpokladu, že celková nedostupnost služby zálohování nepřesáhne 4 hodiny v součtu za všechny při implementaci realizované aktivity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B4F2B12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C2364" w:rsidRPr="007C2364" w14:paraId="4672A434" w14:textId="77777777" w:rsidTr="004F4E49">
        <w:tc>
          <w:tcPr>
            <w:tcW w:w="7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B33EEBD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Zálohování lokálních stanic – centrální prvek a úložiště, bez omezení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25A8A25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C2364" w:rsidRPr="007C2364" w14:paraId="09830E47" w14:textId="77777777" w:rsidTr="004F4E49">
        <w:tc>
          <w:tcPr>
            <w:tcW w:w="7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71234E9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>Zvýšená podpora po dobu pilotního provozu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0849633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C2364" w:rsidRPr="007C2364" w14:paraId="589E79E5" w14:textId="77777777" w:rsidTr="004F4E49">
        <w:tc>
          <w:tcPr>
            <w:tcW w:w="7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3C774EA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>Jednotlivé kroky instalace a implementace budou podrobně dokumentovány, tato dokumentace bude součástí akceptačního protokolu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DCF48D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C2364" w:rsidRPr="007C2364" w14:paraId="73DF7256" w14:textId="77777777" w:rsidTr="004F4E49">
        <w:tc>
          <w:tcPr>
            <w:tcW w:w="7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2B73AA1" w14:textId="743B33CE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Zaškolení pracovníků a dodavatelů </w:t>
            </w:r>
            <w:r w:rsidR="00D27392">
              <w:rPr>
                <w:rFonts w:asciiTheme="minorHAnsi" w:hAnsiTheme="minorHAnsi" w:cstheme="minorHAnsi"/>
                <w:sz w:val="20"/>
                <w:szCs w:val="20"/>
              </w:rPr>
              <w:t>kupujícího</w:t>
            </w:r>
            <w:r w:rsidR="00D27392"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za oblast IT provoz, předání </w:t>
            </w:r>
            <w:proofErr w:type="spellStart"/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>superuživatelských</w:t>
            </w:r>
            <w:proofErr w:type="spellEnd"/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přístupů a zodpovědnosti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A5116AB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C2364" w:rsidRPr="007C2364" w14:paraId="1FAC2412" w14:textId="77777777" w:rsidTr="004F4E49">
        <w:tc>
          <w:tcPr>
            <w:tcW w:w="7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E3253BD" w14:textId="4CF42AB4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Zaškolení pracovníků a dodavatelů </w:t>
            </w:r>
            <w:r w:rsidR="00D27392">
              <w:rPr>
                <w:rFonts w:asciiTheme="minorHAnsi" w:hAnsiTheme="minorHAnsi" w:cstheme="minorHAnsi"/>
                <w:sz w:val="20"/>
                <w:szCs w:val="20"/>
              </w:rPr>
              <w:t>kupujícího</w:t>
            </w:r>
            <w:r w:rsidR="00D27392"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za oblast kybernetická bezpečnost, předání </w:t>
            </w:r>
            <w:proofErr w:type="spellStart"/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>superuživatelských</w:t>
            </w:r>
            <w:proofErr w:type="spellEnd"/>
            <w:r w:rsidRPr="007C23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přístupů a zodpovědnosti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BC3554C" w14:textId="77777777" w:rsidR="007C2364" w:rsidRPr="007C2364" w:rsidRDefault="007C2364" w:rsidP="007C2364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25DC43C5" w14:textId="192866C1" w:rsidR="00763382" w:rsidRPr="00BC6A66" w:rsidRDefault="00763382" w:rsidP="007C181D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sectPr w:rsidR="00763382" w:rsidRPr="00BC6A66" w:rsidSect="0038582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78D28" w14:textId="77777777" w:rsidR="00CF77FB" w:rsidRDefault="00CF77FB" w:rsidP="00BC686A">
      <w:r>
        <w:separator/>
      </w:r>
    </w:p>
  </w:endnote>
  <w:endnote w:type="continuationSeparator" w:id="0">
    <w:p w14:paraId="6A62E532" w14:textId="77777777" w:rsidR="00CF77FB" w:rsidRDefault="00CF77FB" w:rsidP="00BC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FC51" w14:textId="74836DB0" w:rsidR="00334B00" w:rsidRPr="00ED2005" w:rsidRDefault="00334B00" w:rsidP="00EC6EF5">
    <w:pPr>
      <w:jc w:val="center"/>
    </w:pPr>
    <w:r>
      <w:rPr>
        <w:noProof/>
      </w:rPr>
      <w:drawing>
        <wp:inline distT="0" distB="0" distL="0" distR="0" wp14:anchorId="71140161" wp14:editId="2785DD9A">
          <wp:extent cx="5386705" cy="661670"/>
          <wp:effectExtent l="0" t="0" r="4445" b="5080"/>
          <wp:docPr id="136843626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436268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705" cy="66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4C630" w14:textId="77777777" w:rsidR="00CF77FB" w:rsidRDefault="00CF77FB" w:rsidP="00BC686A">
      <w:r>
        <w:separator/>
      </w:r>
    </w:p>
  </w:footnote>
  <w:footnote w:type="continuationSeparator" w:id="0">
    <w:p w14:paraId="20801923" w14:textId="77777777" w:rsidR="00CF77FB" w:rsidRDefault="00CF77FB" w:rsidP="00BC686A">
      <w:r>
        <w:continuationSeparator/>
      </w:r>
    </w:p>
  </w:footnote>
  <w:footnote w:id="1">
    <w:p w14:paraId="07EC99B2" w14:textId="77777777" w:rsidR="00334B00" w:rsidRPr="007D76A1" w:rsidRDefault="00334B00">
      <w:pPr>
        <w:pStyle w:val="Textpoznpodarou"/>
        <w:rPr>
          <w:rFonts w:asciiTheme="minorHAnsi" w:hAnsiTheme="minorHAnsi" w:cstheme="minorHAnsi"/>
        </w:rPr>
      </w:pPr>
      <w:r w:rsidRPr="007D76A1">
        <w:rPr>
          <w:rStyle w:val="Znakapoznpodarou"/>
          <w:rFonts w:asciiTheme="minorHAnsi" w:hAnsiTheme="minorHAnsi" w:cstheme="minorHAnsi"/>
          <w:b/>
        </w:rPr>
        <w:footnoteRef/>
      </w:r>
      <w:r w:rsidRPr="007D76A1">
        <w:rPr>
          <w:rFonts w:asciiTheme="minorHAnsi" w:hAnsiTheme="minorHAnsi" w:cstheme="minorHAnsi"/>
          <w:b/>
        </w:rPr>
        <w:t xml:space="preserve"> </w:t>
      </w:r>
      <w:r w:rsidRPr="007D76A1">
        <w:rPr>
          <w:rFonts w:asciiTheme="minorHAnsi" w:hAnsiTheme="minorHAnsi" w:cstheme="minorHAnsi"/>
        </w:rPr>
        <w:t>Doplní účastník</w:t>
      </w:r>
    </w:p>
  </w:footnote>
  <w:footnote w:id="2">
    <w:p w14:paraId="1AD10088" w14:textId="77777777" w:rsidR="00334B00" w:rsidRPr="00623252" w:rsidRDefault="00334B00" w:rsidP="00623252">
      <w:pPr>
        <w:pStyle w:val="Textpoznpodarou"/>
        <w:rPr>
          <w:rFonts w:ascii="Arial" w:hAnsi="Arial" w:cs="Arial"/>
        </w:rPr>
      </w:pPr>
      <w:r w:rsidRPr="007D76A1">
        <w:rPr>
          <w:rStyle w:val="Znakapoznpodarou"/>
          <w:rFonts w:asciiTheme="minorHAnsi" w:hAnsiTheme="minorHAnsi" w:cstheme="minorHAnsi"/>
          <w:b/>
        </w:rPr>
        <w:footnoteRef/>
      </w:r>
      <w:r w:rsidRPr="007D76A1">
        <w:rPr>
          <w:rFonts w:asciiTheme="minorHAnsi" w:hAnsiTheme="minorHAnsi" w:cstheme="minorHAnsi"/>
          <w:b/>
        </w:rPr>
        <w:t xml:space="preserve"> </w:t>
      </w:r>
      <w:r w:rsidRPr="007D76A1">
        <w:rPr>
          <w:rFonts w:asciiTheme="minorHAnsi" w:hAnsiTheme="minorHAnsi" w:cstheme="minorHAnsi"/>
        </w:rPr>
        <w:t>Doplní účastník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9B480" w14:textId="2C5C8249" w:rsidR="00334B00" w:rsidRDefault="00334B00" w:rsidP="00EC6EF5">
    <w:pPr>
      <w:pStyle w:val="Zpat"/>
      <w:jc w:val="center"/>
    </w:pPr>
  </w:p>
  <w:p w14:paraId="423E5A6E" w14:textId="77777777" w:rsidR="00334B00" w:rsidRPr="007C181D" w:rsidRDefault="00334B00" w:rsidP="00EC20A2">
    <w:pPr>
      <w:pStyle w:val="Zpa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66pt;height:41.25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hd w:val="clear" w:color="auto" w:fill="FFFF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hd w:val="clear" w:color="auto" w:fill="FFFF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hd w:val="clear" w:color="auto" w:fill="FFFF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82700A"/>
    <w:multiLevelType w:val="hybridMultilevel"/>
    <w:tmpl w:val="5270F766"/>
    <w:lvl w:ilvl="0" w:tplc="9FE0F6C2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7A50B7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7E24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2B2A4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156CF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18852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8FC4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EBEAD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125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C328CF"/>
    <w:multiLevelType w:val="hybridMultilevel"/>
    <w:tmpl w:val="847E5018"/>
    <w:lvl w:ilvl="0" w:tplc="0BD2C242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1C219D"/>
    <w:multiLevelType w:val="hybridMultilevel"/>
    <w:tmpl w:val="040A3A40"/>
    <w:lvl w:ilvl="0" w:tplc="1B90E672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040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8"/>
      </w:rPr>
    </w:lvl>
    <w:lvl w:ilvl="2" w:tplc="0405001B">
      <w:start w:val="3"/>
      <w:numFmt w:val="bullet"/>
      <w:lvlText w:val="-"/>
      <w:lvlJc w:val="left"/>
      <w:pPr>
        <w:ind w:left="2340" w:hanging="360"/>
      </w:pPr>
      <w:rPr>
        <w:rFonts w:ascii="Arial" w:eastAsia="Batang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AB1DBF"/>
    <w:multiLevelType w:val="hybridMultilevel"/>
    <w:tmpl w:val="F6AE0812"/>
    <w:lvl w:ilvl="0" w:tplc="E5AEE89C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8C6FCB"/>
    <w:multiLevelType w:val="multilevel"/>
    <w:tmpl w:val="025A87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6" w15:restartNumberingAfterBreak="0">
    <w:nsid w:val="22B53F65"/>
    <w:multiLevelType w:val="hybridMultilevel"/>
    <w:tmpl w:val="E8E2ED46"/>
    <w:lvl w:ilvl="0" w:tplc="A364A6E4">
      <w:start w:val="1"/>
      <w:numFmt w:val="bullet"/>
      <w:pStyle w:val="Odraz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433D3"/>
    <w:multiLevelType w:val="hybridMultilevel"/>
    <w:tmpl w:val="BF108146"/>
    <w:lvl w:ilvl="0" w:tplc="020E242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565204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F424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3247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A8C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AD49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32C1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522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7C4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6427AE2"/>
    <w:multiLevelType w:val="hybridMultilevel"/>
    <w:tmpl w:val="764CB7FE"/>
    <w:lvl w:ilvl="0" w:tplc="8CD6705A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064511"/>
    <w:multiLevelType w:val="multilevel"/>
    <w:tmpl w:val="C8B6A0D0"/>
    <w:lvl w:ilvl="0">
      <w:numFmt w:val="bullet"/>
      <w:lvlText w:val="•"/>
      <w:lvlJc w:val="left"/>
      <w:pPr>
        <w:ind w:left="369" w:firstLine="0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3CB36D7"/>
    <w:multiLevelType w:val="hybridMultilevel"/>
    <w:tmpl w:val="544A2D12"/>
    <w:lvl w:ilvl="0" w:tplc="FFFFFFFF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3C1308"/>
    <w:multiLevelType w:val="multilevel"/>
    <w:tmpl w:val="881E6A2C"/>
    <w:styleLink w:val="WWNum15"/>
    <w:lvl w:ilvl="0">
      <w:numFmt w:val="bullet"/>
      <w:lvlText w:val="•"/>
      <w:lvlJc w:val="left"/>
      <w:pPr>
        <w:ind w:left="369" w:firstLine="0"/>
      </w:pPr>
      <w:rPr>
        <w:rFonts w:ascii="OpenSymbol" w:eastAsia="OpenSymbol" w:hAnsi="OpenSymbol" w:cs="Open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39413067"/>
    <w:multiLevelType w:val="hybridMultilevel"/>
    <w:tmpl w:val="544A2D12"/>
    <w:lvl w:ilvl="0" w:tplc="FFFFFFFF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3F6B1DCE"/>
    <w:multiLevelType w:val="hybridMultilevel"/>
    <w:tmpl w:val="40AEBDBE"/>
    <w:lvl w:ilvl="0" w:tplc="B8D075C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CA8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28E1101"/>
    <w:multiLevelType w:val="multilevel"/>
    <w:tmpl w:val="0B5E54AA"/>
    <w:lvl w:ilvl="0">
      <w:numFmt w:val="bullet"/>
      <w:lvlText w:val="•"/>
      <w:lvlJc w:val="left"/>
      <w:pPr>
        <w:ind w:left="369" w:firstLine="0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DD35FDD"/>
    <w:multiLevelType w:val="hybridMultilevel"/>
    <w:tmpl w:val="544A2D12"/>
    <w:lvl w:ilvl="0" w:tplc="78363874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</w:rPr>
    </w:lvl>
    <w:lvl w:ilvl="1" w:tplc="21D8DA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F81D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1945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EE3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B43E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1CA6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B9429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0A96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BFB6329"/>
    <w:multiLevelType w:val="multilevel"/>
    <w:tmpl w:val="B6FEE700"/>
    <w:lvl w:ilvl="0">
      <w:numFmt w:val="bullet"/>
      <w:lvlText w:val="•"/>
      <w:lvlJc w:val="left"/>
      <w:pPr>
        <w:ind w:left="369" w:firstLine="0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D123F1C"/>
    <w:multiLevelType w:val="hybridMultilevel"/>
    <w:tmpl w:val="ADE6C97A"/>
    <w:styleLink w:val="Importovanstyl6"/>
    <w:lvl w:ilvl="0" w:tplc="CD9C5CF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EA3DA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0CE31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BEDB78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4832D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7ACD6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1A81A4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0447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0C546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61EF4BC5"/>
    <w:multiLevelType w:val="hybridMultilevel"/>
    <w:tmpl w:val="A0C2D5E6"/>
    <w:lvl w:ilvl="0" w:tplc="7688E2B8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C0F03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F60B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62840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EA90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FEE5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5303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E6A6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4F8C3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F0A1097"/>
    <w:multiLevelType w:val="multilevel"/>
    <w:tmpl w:val="54FA7D1A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340A88"/>
    <w:multiLevelType w:val="multilevel"/>
    <w:tmpl w:val="76DA1F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884676231">
    <w:abstractNumId w:val="17"/>
  </w:num>
  <w:num w:numId="2" w16cid:durableId="842277954">
    <w:abstractNumId w:val="8"/>
  </w:num>
  <w:num w:numId="3" w16cid:durableId="1665670687">
    <w:abstractNumId w:val="5"/>
  </w:num>
  <w:num w:numId="4" w16cid:durableId="1124957822">
    <w:abstractNumId w:val="3"/>
  </w:num>
  <w:num w:numId="5" w16cid:durableId="531721771">
    <w:abstractNumId w:val="1"/>
  </w:num>
  <w:num w:numId="6" w16cid:durableId="1616400610">
    <w:abstractNumId w:val="22"/>
  </w:num>
  <w:num w:numId="7" w16cid:durableId="340400003">
    <w:abstractNumId w:val="16"/>
  </w:num>
  <w:num w:numId="8" w16cid:durableId="622422264">
    <w:abstractNumId w:val="7"/>
  </w:num>
  <w:num w:numId="9" w16cid:durableId="182937305">
    <w:abstractNumId w:val="2"/>
  </w:num>
  <w:num w:numId="10" w16cid:durableId="528304003">
    <w:abstractNumId w:val="4"/>
  </w:num>
  <w:num w:numId="11" w16cid:durableId="1522426944">
    <w:abstractNumId w:val="14"/>
  </w:num>
  <w:num w:numId="12" w16cid:durableId="722217430">
    <w:abstractNumId w:val="20"/>
  </w:num>
  <w:num w:numId="13" w16cid:durableId="1557860313">
    <w:abstractNumId w:val="19"/>
  </w:num>
  <w:num w:numId="14" w16cid:durableId="1833251197">
    <w:abstractNumId w:val="13"/>
  </w:num>
  <w:num w:numId="15" w16cid:durableId="1895388265">
    <w:abstractNumId w:val="6"/>
  </w:num>
  <w:num w:numId="16" w16cid:durableId="2025545980">
    <w:abstractNumId w:val="21"/>
  </w:num>
  <w:num w:numId="17" w16cid:durableId="436073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181645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75985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58867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6430755">
    <w:abstractNumId w:val="11"/>
  </w:num>
  <w:num w:numId="22" w16cid:durableId="1846632178">
    <w:abstractNumId w:val="11"/>
  </w:num>
  <w:num w:numId="23" w16cid:durableId="1020930162">
    <w:abstractNumId w:val="11"/>
  </w:num>
  <w:num w:numId="24" w16cid:durableId="211700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5093309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3255179">
    <w:abstractNumId w:val="12"/>
  </w:num>
  <w:num w:numId="27" w16cid:durableId="409886672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C8A"/>
    <w:rsid w:val="0000329D"/>
    <w:rsid w:val="00006ECE"/>
    <w:rsid w:val="00011E66"/>
    <w:rsid w:val="00016DAA"/>
    <w:rsid w:val="0001715C"/>
    <w:rsid w:val="00020FA0"/>
    <w:rsid w:val="000300D3"/>
    <w:rsid w:val="00031D33"/>
    <w:rsid w:val="00034F87"/>
    <w:rsid w:val="0004120F"/>
    <w:rsid w:val="000420B9"/>
    <w:rsid w:val="0004243A"/>
    <w:rsid w:val="00042710"/>
    <w:rsid w:val="00043872"/>
    <w:rsid w:val="00044454"/>
    <w:rsid w:val="00044673"/>
    <w:rsid w:val="00051A9A"/>
    <w:rsid w:val="000548BD"/>
    <w:rsid w:val="00056E55"/>
    <w:rsid w:val="00060690"/>
    <w:rsid w:val="00060DDE"/>
    <w:rsid w:val="00072D12"/>
    <w:rsid w:val="000805E8"/>
    <w:rsid w:val="000870B1"/>
    <w:rsid w:val="00091D02"/>
    <w:rsid w:val="000944F0"/>
    <w:rsid w:val="00096084"/>
    <w:rsid w:val="000A1DD7"/>
    <w:rsid w:val="000A2C47"/>
    <w:rsid w:val="000A37CE"/>
    <w:rsid w:val="000A4419"/>
    <w:rsid w:val="000A6226"/>
    <w:rsid w:val="000B05C7"/>
    <w:rsid w:val="000B0B94"/>
    <w:rsid w:val="000B1552"/>
    <w:rsid w:val="000B214A"/>
    <w:rsid w:val="000B4F34"/>
    <w:rsid w:val="000C0912"/>
    <w:rsid w:val="000C259A"/>
    <w:rsid w:val="000C3D6D"/>
    <w:rsid w:val="000D2D88"/>
    <w:rsid w:val="000D5695"/>
    <w:rsid w:val="000E0137"/>
    <w:rsid w:val="000E25A7"/>
    <w:rsid w:val="000F01AE"/>
    <w:rsid w:val="000F5EC3"/>
    <w:rsid w:val="000F69D3"/>
    <w:rsid w:val="000F6DEB"/>
    <w:rsid w:val="00101AF7"/>
    <w:rsid w:val="00101EE6"/>
    <w:rsid w:val="001033C2"/>
    <w:rsid w:val="0010411C"/>
    <w:rsid w:val="00104657"/>
    <w:rsid w:val="001106DA"/>
    <w:rsid w:val="001107FD"/>
    <w:rsid w:val="001135BB"/>
    <w:rsid w:val="00113ABB"/>
    <w:rsid w:val="00115A2B"/>
    <w:rsid w:val="00125745"/>
    <w:rsid w:val="00126F9C"/>
    <w:rsid w:val="001336C8"/>
    <w:rsid w:val="0013452B"/>
    <w:rsid w:val="00135E9C"/>
    <w:rsid w:val="00136912"/>
    <w:rsid w:val="00141C5C"/>
    <w:rsid w:val="00145369"/>
    <w:rsid w:val="0014691E"/>
    <w:rsid w:val="001471F3"/>
    <w:rsid w:val="001568EA"/>
    <w:rsid w:val="001600BF"/>
    <w:rsid w:val="0016022C"/>
    <w:rsid w:val="00164C67"/>
    <w:rsid w:val="0017578E"/>
    <w:rsid w:val="00177F06"/>
    <w:rsid w:val="00177F5D"/>
    <w:rsid w:val="00180113"/>
    <w:rsid w:val="0018058D"/>
    <w:rsid w:val="00180929"/>
    <w:rsid w:val="001824EF"/>
    <w:rsid w:val="0018369F"/>
    <w:rsid w:val="001844DE"/>
    <w:rsid w:val="00186783"/>
    <w:rsid w:val="0019047C"/>
    <w:rsid w:val="00193212"/>
    <w:rsid w:val="00195CE6"/>
    <w:rsid w:val="0019716C"/>
    <w:rsid w:val="001A23CC"/>
    <w:rsid w:val="001A6797"/>
    <w:rsid w:val="001B0C24"/>
    <w:rsid w:val="001B28A1"/>
    <w:rsid w:val="001B3233"/>
    <w:rsid w:val="001B3BC3"/>
    <w:rsid w:val="001B5C44"/>
    <w:rsid w:val="001B64DB"/>
    <w:rsid w:val="001B7210"/>
    <w:rsid w:val="001B7D7F"/>
    <w:rsid w:val="001C24DE"/>
    <w:rsid w:val="001C39CB"/>
    <w:rsid w:val="001C3B77"/>
    <w:rsid w:val="001C75A2"/>
    <w:rsid w:val="001D4FC6"/>
    <w:rsid w:val="001E1D17"/>
    <w:rsid w:val="001E2213"/>
    <w:rsid w:val="001E33F1"/>
    <w:rsid w:val="001F2261"/>
    <w:rsid w:val="001F2C04"/>
    <w:rsid w:val="001F3FE7"/>
    <w:rsid w:val="001F518B"/>
    <w:rsid w:val="00202166"/>
    <w:rsid w:val="00202D27"/>
    <w:rsid w:val="00205478"/>
    <w:rsid w:val="0021049C"/>
    <w:rsid w:val="00216416"/>
    <w:rsid w:val="002219EF"/>
    <w:rsid w:val="00223124"/>
    <w:rsid w:val="002338F3"/>
    <w:rsid w:val="00235FAE"/>
    <w:rsid w:val="0023662D"/>
    <w:rsid w:val="00240441"/>
    <w:rsid w:val="00254AFF"/>
    <w:rsid w:val="00255DE2"/>
    <w:rsid w:val="00256EFA"/>
    <w:rsid w:val="00261970"/>
    <w:rsid w:val="00262D78"/>
    <w:rsid w:val="002677B7"/>
    <w:rsid w:val="00273E45"/>
    <w:rsid w:val="00274265"/>
    <w:rsid w:val="00274876"/>
    <w:rsid w:val="00275713"/>
    <w:rsid w:val="002825CA"/>
    <w:rsid w:val="0028489A"/>
    <w:rsid w:val="00285D0C"/>
    <w:rsid w:val="00287A93"/>
    <w:rsid w:val="002910BB"/>
    <w:rsid w:val="0029160A"/>
    <w:rsid w:val="0029236A"/>
    <w:rsid w:val="002A1983"/>
    <w:rsid w:val="002A1EE4"/>
    <w:rsid w:val="002A4144"/>
    <w:rsid w:val="002A5708"/>
    <w:rsid w:val="002B0205"/>
    <w:rsid w:val="002B1269"/>
    <w:rsid w:val="002B26FC"/>
    <w:rsid w:val="002B5E6E"/>
    <w:rsid w:val="002B6C26"/>
    <w:rsid w:val="002B7526"/>
    <w:rsid w:val="002B76CF"/>
    <w:rsid w:val="002C1021"/>
    <w:rsid w:val="002C39A6"/>
    <w:rsid w:val="002C4192"/>
    <w:rsid w:val="002C5DBE"/>
    <w:rsid w:val="002C7ECC"/>
    <w:rsid w:val="002D09DC"/>
    <w:rsid w:val="002D0B41"/>
    <w:rsid w:val="002D59B6"/>
    <w:rsid w:val="002D73F4"/>
    <w:rsid w:val="002E31BF"/>
    <w:rsid w:val="002E61C4"/>
    <w:rsid w:val="002E6575"/>
    <w:rsid w:val="002E7C58"/>
    <w:rsid w:val="002F2318"/>
    <w:rsid w:val="002F5759"/>
    <w:rsid w:val="002F6EE3"/>
    <w:rsid w:val="002F7EBB"/>
    <w:rsid w:val="003046D3"/>
    <w:rsid w:val="00307B75"/>
    <w:rsid w:val="00312517"/>
    <w:rsid w:val="00313AFA"/>
    <w:rsid w:val="00314AE0"/>
    <w:rsid w:val="00315F49"/>
    <w:rsid w:val="00321889"/>
    <w:rsid w:val="00321F8F"/>
    <w:rsid w:val="00322258"/>
    <w:rsid w:val="00323229"/>
    <w:rsid w:val="003246FE"/>
    <w:rsid w:val="00330D85"/>
    <w:rsid w:val="00334B00"/>
    <w:rsid w:val="003365B4"/>
    <w:rsid w:val="0034111B"/>
    <w:rsid w:val="003420A0"/>
    <w:rsid w:val="003435BD"/>
    <w:rsid w:val="00346310"/>
    <w:rsid w:val="00347B52"/>
    <w:rsid w:val="003500A7"/>
    <w:rsid w:val="003532B5"/>
    <w:rsid w:val="003638CE"/>
    <w:rsid w:val="00366F68"/>
    <w:rsid w:val="00373FDF"/>
    <w:rsid w:val="00380603"/>
    <w:rsid w:val="00384336"/>
    <w:rsid w:val="0038582C"/>
    <w:rsid w:val="003869E0"/>
    <w:rsid w:val="00387107"/>
    <w:rsid w:val="00393C8E"/>
    <w:rsid w:val="00394DE6"/>
    <w:rsid w:val="00396877"/>
    <w:rsid w:val="00397407"/>
    <w:rsid w:val="00397B06"/>
    <w:rsid w:val="003A223B"/>
    <w:rsid w:val="003A330C"/>
    <w:rsid w:val="003A39B9"/>
    <w:rsid w:val="003B18F3"/>
    <w:rsid w:val="003B1BEA"/>
    <w:rsid w:val="003B3800"/>
    <w:rsid w:val="003B4376"/>
    <w:rsid w:val="003C0652"/>
    <w:rsid w:val="003C11D6"/>
    <w:rsid w:val="003C55B3"/>
    <w:rsid w:val="003C5DA9"/>
    <w:rsid w:val="003C6ED4"/>
    <w:rsid w:val="003D1D93"/>
    <w:rsid w:val="003D4B1F"/>
    <w:rsid w:val="003E30A4"/>
    <w:rsid w:val="003E4A1D"/>
    <w:rsid w:val="003E5FD5"/>
    <w:rsid w:val="003F153D"/>
    <w:rsid w:val="003F7FF6"/>
    <w:rsid w:val="00400471"/>
    <w:rsid w:val="00401EC2"/>
    <w:rsid w:val="0040210F"/>
    <w:rsid w:val="004028A4"/>
    <w:rsid w:val="00403846"/>
    <w:rsid w:val="00404FEF"/>
    <w:rsid w:val="0040625A"/>
    <w:rsid w:val="00406CA3"/>
    <w:rsid w:val="00406E11"/>
    <w:rsid w:val="00407627"/>
    <w:rsid w:val="00413FE5"/>
    <w:rsid w:val="0041454A"/>
    <w:rsid w:val="0041651B"/>
    <w:rsid w:val="004168E4"/>
    <w:rsid w:val="00417291"/>
    <w:rsid w:val="0042411E"/>
    <w:rsid w:val="00424DCB"/>
    <w:rsid w:val="0042525E"/>
    <w:rsid w:val="00425AC8"/>
    <w:rsid w:val="004267F5"/>
    <w:rsid w:val="004318F3"/>
    <w:rsid w:val="00433465"/>
    <w:rsid w:val="00435EFB"/>
    <w:rsid w:val="00436F85"/>
    <w:rsid w:val="004370D2"/>
    <w:rsid w:val="00443468"/>
    <w:rsid w:val="00450D57"/>
    <w:rsid w:val="0045113B"/>
    <w:rsid w:val="00460F22"/>
    <w:rsid w:val="0046521A"/>
    <w:rsid w:val="00470328"/>
    <w:rsid w:val="00471B70"/>
    <w:rsid w:val="00472CD9"/>
    <w:rsid w:val="00474342"/>
    <w:rsid w:val="004746B6"/>
    <w:rsid w:val="004759D0"/>
    <w:rsid w:val="0047726D"/>
    <w:rsid w:val="00487B56"/>
    <w:rsid w:val="00491C21"/>
    <w:rsid w:val="00494037"/>
    <w:rsid w:val="004962E3"/>
    <w:rsid w:val="004A3BB2"/>
    <w:rsid w:val="004A42AE"/>
    <w:rsid w:val="004A4B1B"/>
    <w:rsid w:val="004A55C8"/>
    <w:rsid w:val="004A65C7"/>
    <w:rsid w:val="004A7461"/>
    <w:rsid w:val="004B12BD"/>
    <w:rsid w:val="004B5E90"/>
    <w:rsid w:val="004C37A3"/>
    <w:rsid w:val="004D1075"/>
    <w:rsid w:val="004D4CD0"/>
    <w:rsid w:val="004D7FD3"/>
    <w:rsid w:val="004E1D9A"/>
    <w:rsid w:val="004E3951"/>
    <w:rsid w:val="004E6286"/>
    <w:rsid w:val="004F0D8C"/>
    <w:rsid w:val="004F4E49"/>
    <w:rsid w:val="004F5E0D"/>
    <w:rsid w:val="00501BF4"/>
    <w:rsid w:val="00501DE5"/>
    <w:rsid w:val="00501FBA"/>
    <w:rsid w:val="005024BD"/>
    <w:rsid w:val="00504D20"/>
    <w:rsid w:val="00507D38"/>
    <w:rsid w:val="00510FDC"/>
    <w:rsid w:val="0051176E"/>
    <w:rsid w:val="00511C72"/>
    <w:rsid w:val="00514168"/>
    <w:rsid w:val="005220FE"/>
    <w:rsid w:val="00527935"/>
    <w:rsid w:val="0053241B"/>
    <w:rsid w:val="00535509"/>
    <w:rsid w:val="00535D64"/>
    <w:rsid w:val="00536B22"/>
    <w:rsid w:val="00542119"/>
    <w:rsid w:val="005428B3"/>
    <w:rsid w:val="0054623B"/>
    <w:rsid w:val="00546255"/>
    <w:rsid w:val="005514D3"/>
    <w:rsid w:val="0055244F"/>
    <w:rsid w:val="00554DA7"/>
    <w:rsid w:val="00554FD8"/>
    <w:rsid w:val="005619A7"/>
    <w:rsid w:val="00565C8A"/>
    <w:rsid w:val="00567D6F"/>
    <w:rsid w:val="00567E11"/>
    <w:rsid w:val="00570E55"/>
    <w:rsid w:val="00576539"/>
    <w:rsid w:val="0058485A"/>
    <w:rsid w:val="00585EB4"/>
    <w:rsid w:val="00587553"/>
    <w:rsid w:val="0059012F"/>
    <w:rsid w:val="005914BC"/>
    <w:rsid w:val="00591F51"/>
    <w:rsid w:val="00595AFE"/>
    <w:rsid w:val="005A2005"/>
    <w:rsid w:val="005A3551"/>
    <w:rsid w:val="005A3616"/>
    <w:rsid w:val="005A38FE"/>
    <w:rsid w:val="005A5FE3"/>
    <w:rsid w:val="005B5325"/>
    <w:rsid w:val="005C1281"/>
    <w:rsid w:val="005C1FB1"/>
    <w:rsid w:val="005C3458"/>
    <w:rsid w:val="005C38A3"/>
    <w:rsid w:val="005C58E5"/>
    <w:rsid w:val="005D1440"/>
    <w:rsid w:val="005D18AC"/>
    <w:rsid w:val="005D5E27"/>
    <w:rsid w:val="005D760D"/>
    <w:rsid w:val="005E2118"/>
    <w:rsid w:val="005E34D1"/>
    <w:rsid w:val="005F3712"/>
    <w:rsid w:val="005F4C2A"/>
    <w:rsid w:val="005F7581"/>
    <w:rsid w:val="00602261"/>
    <w:rsid w:val="00610FA5"/>
    <w:rsid w:val="00623252"/>
    <w:rsid w:val="00643326"/>
    <w:rsid w:val="00653293"/>
    <w:rsid w:val="006540F3"/>
    <w:rsid w:val="00660A64"/>
    <w:rsid w:val="00666022"/>
    <w:rsid w:val="006664DC"/>
    <w:rsid w:val="006805FC"/>
    <w:rsid w:val="006810DF"/>
    <w:rsid w:val="00681308"/>
    <w:rsid w:val="006844B4"/>
    <w:rsid w:val="00684627"/>
    <w:rsid w:val="006850D1"/>
    <w:rsid w:val="006863D3"/>
    <w:rsid w:val="00686C97"/>
    <w:rsid w:val="00687C29"/>
    <w:rsid w:val="00692BF1"/>
    <w:rsid w:val="00693015"/>
    <w:rsid w:val="00694B4A"/>
    <w:rsid w:val="006A0207"/>
    <w:rsid w:val="006A2C45"/>
    <w:rsid w:val="006A3156"/>
    <w:rsid w:val="006A687E"/>
    <w:rsid w:val="006B2079"/>
    <w:rsid w:val="006B5F86"/>
    <w:rsid w:val="006C0A3F"/>
    <w:rsid w:val="006C2444"/>
    <w:rsid w:val="006C40E4"/>
    <w:rsid w:val="006C6840"/>
    <w:rsid w:val="006D2278"/>
    <w:rsid w:val="006D2A52"/>
    <w:rsid w:val="006D4BE5"/>
    <w:rsid w:val="006D5C22"/>
    <w:rsid w:val="006D630F"/>
    <w:rsid w:val="006E1750"/>
    <w:rsid w:val="006E236D"/>
    <w:rsid w:val="006E44FF"/>
    <w:rsid w:val="006E59BC"/>
    <w:rsid w:val="006F025B"/>
    <w:rsid w:val="006F1021"/>
    <w:rsid w:val="006F172E"/>
    <w:rsid w:val="006F1E2A"/>
    <w:rsid w:val="006F3397"/>
    <w:rsid w:val="006F4320"/>
    <w:rsid w:val="006F74D3"/>
    <w:rsid w:val="006F7549"/>
    <w:rsid w:val="00704931"/>
    <w:rsid w:val="0071044A"/>
    <w:rsid w:val="00710C82"/>
    <w:rsid w:val="00712B8D"/>
    <w:rsid w:val="0071322A"/>
    <w:rsid w:val="00715D54"/>
    <w:rsid w:val="00716A84"/>
    <w:rsid w:val="00720833"/>
    <w:rsid w:val="0072375E"/>
    <w:rsid w:val="007238C4"/>
    <w:rsid w:val="00725BD9"/>
    <w:rsid w:val="00725E3B"/>
    <w:rsid w:val="00730152"/>
    <w:rsid w:val="0073344D"/>
    <w:rsid w:val="00741F75"/>
    <w:rsid w:val="0074202A"/>
    <w:rsid w:val="0074343E"/>
    <w:rsid w:val="00750092"/>
    <w:rsid w:val="0075035D"/>
    <w:rsid w:val="007544C9"/>
    <w:rsid w:val="0075575C"/>
    <w:rsid w:val="00755BD9"/>
    <w:rsid w:val="00756B50"/>
    <w:rsid w:val="00763382"/>
    <w:rsid w:val="00763557"/>
    <w:rsid w:val="00765753"/>
    <w:rsid w:val="00770EEA"/>
    <w:rsid w:val="00776223"/>
    <w:rsid w:val="0078563A"/>
    <w:rsid w:val="0078661E"/>
    <w:rsid w:val="007868FB"/>
    <w:rsid w:val="00790D4F"/>
    <w:rsid w:val="00791993"/>
    <w:rsid w:val="00794219"/>
    <w:rsid w:val="007A2392"/>
    <w:rsid w:val="007A2B1F"/>
    <w:rsid w:val="007A2E13"/>
    <w:rsid w:val="007A4273"/>
    <w:rsid w:val="007A4B53"/>
    <w:rsid w:val="007A6F24"/>
    <w:rsid w:val="007B3827"/>
    <w:rsid w:val="007B49AB"/>
    <w:rsid w:val="007B5463"/>
    <w:rsid w:val="007B71D6"/>
    <w:rsid w:val="007C0646"/>
    <w:rsid w:val="007C181D"/>
    <w:rsid w:val="007C21CB"/>
    <w:rsid w:val="007C2364"/>
    <w:rsid w:val="007D1FAA"/>
    <w:rsid w:val="007D43F6"/>
    <w:rsid w:val="007D4ED4"/>
    <w:rsid w:val="007D76A1"/>
    <w:rsid w:val="007E17FF"/>
    <w:rsid w:val="007E4585"/>
    <w:rsid w:val="007F111E"/>
    <w:rsid w:val="007F4E7B"/>
    <w:rsid w:val="007F55D4"/>
    <w:rsid w:val="007F651D"/>
    <w:rsid w:val="00802B08"/>
    <w:rsid w:val="00807460"/>
    <w:rsid w:val="008128E5"/>
    <w:rsid w:val="0081472A"/>
    <w:rsid w:val="008170F1"/>
    <w:rsid w:val="00817EEB"/>
    <w:rsid w:val="00831DCB"/>
    <w:rsid w:val="0083603E"/>
    <w:rsid w:val="00837A2E"/>
    <w:rsid w:val="008400FC"/>
    <w:rsid w:val="008417E0"/>
    <w:rsid w:val="00857BE7"/>
    <w:rsid w:val="00857FAE"/>
    <w:rsid w:val="008609F8"/>
    <w:rsid w:val="00862363"/>
    <w:rsid w:val="008657D2"/>
    <w:rsid w:val="00866261"/>
    <w:rsid w:val="00871B56"/>
    <w:rsid w:val="00871F5A"/>
    <w:rsid w:val="00872595"/>
    <w:rsid w:val="00873279"/>
    <w:rsid w:val="00874021"/>
    <w:rsid w:val="00876C28"/>
    <w:rsid w:val="00877253"/>
    <w:rsid w:val="00877D49"/>
    <w:rsid w:val="00880C64"/>
    <w:rsid w:val="00881BCB"/>
    <w:rsid w:val="00883B61"/>
    <w:rsid w:val="00885CCC"/>
    <w:rsid w:val="00897BE7"/>
    <w:rsid w:val="008A1E9C"/>
    <w:rsid w:val="008A27D9"/>
    <w:rsid w:val="008A2D3B"/>
    <w:rsid w:val="008A4E54"/>
    <w:rsid w:val="008B1F0D"/>
    <w:rsid w:val="008C0C3C"/>
    <w:rsid w:val="008C2959"/>
    <w:rsid w:val="008C6A25"/>
    <w:rsid w:val="008C7274"/>
    <w:rsid w:val="008D1DD4"/>
    <w:rsid w:val="008D6E8E"/>
    <w:rsid w:val="008E266A"/>
    <w:rsid w:val="008E2C29"/>
    <w:rsid w:val="008E40B9"/>
    <w:rsid w:val="008E596A"/>
    <w:rsid w:val="008E6EE9"/>
    <w:rsid w:val="008F3BF2"/>
    <w:rsid w:val="008F53E3"/>
    <w:rsid w:val="008F58BD"/>
    <w:rsid w:val="008F6536"/>
    <w:rsid w:val="008F712A"/>
    <w:rsid w:val="00901B60"/>
    <w:rsid w:val="0090308C"/>
    <w:rsid w:val="00904D87"/>
    <w:rsid w:val="00905548"/>
    <w:rsid w:val="009109A8"/>
    <w:rsid w:val="009129BF"/>
    <w:rsid w:val="00916A2F"/>
    <w:rsid w:val="009201DE"/>
    <w:rsid w:val="00920C89"/>
    <w:rsid w:val="00924F7C"/>
    <w:rsid w:val="00926E3B"/>
    <w:rsid w:val="00927E6A"/>
    <w:rsid w:val="00931CD2"/>
    <w:rsid w:val="0093486B"/>
    <w:rsid w:val="00936517"/>
    <w:rsid w:val="009442CD"/>
    <w:rsid w:val="009454D9"/>
    <w:rsid w:val="009547C6"/>
    <w:rsid w:val="00955C80"/>
    <w:rsid w:val="00956758"/>
    <w:rsid w:val="00956BE6"/>
    <w:rsid w:val="00960791"/>
    <w:rsid w:val="00960E19"/>
    <w:rsid w:val="00962AD2"/>
    <w:rsid w:val="00965421"/>
    <w:rsid w:val="009677B4"/>
    <w:rsid w:val="00967C20"/>
    <w:rsid w:val="00971CDB"/>
    <w:rsid w:val="00975331"/>
    <w:rsid w:val="009757F9"/>
    <w:rsid w:val="009773A3"/>
    <w:rsid w:val="009814FC"/>
    <w:rsid w:val="00984326"/>
    <w:rsid w:val="009861B4"/>
    <w:rsid w:val="00987818"/>
    <w:rsid w:val="00993570"/>
    <w:rsid w:val="00995616"/>
    <w:rsid w:val="009A05A9"/>
    <w:rsid w:val="009A0A13"/>
    <w:rsid w:val="009A43BF"/>
    <w:rsid w:val="009A71D2"/>
    <w:rsid w:val="009C115B"/>
    <w:rsid w:val="009C27D2"/>
    <w:rsid w:val="009C3ABF"/>
    <w:rsid w:val="009C487C"/>
    <w:rsid w:val="009D2118"/>
    <w:rsid w:val="009D3795"/>
    <w:rsid w:val="009D3A41"/>
    <w:rsid w:val="009D7AF3"/>
    <w:rsid w:val="009E2B7F"/>
    <w:rsid w:val="009E36DC"/>
    <w:rsid w:val="009E50F0"/>
    <w:rsid w:val="009E7E2E"/>
    <w:rsid w:val="009F5539"/>
    <w:rsid w:val="009F7428"/>
    <w:rsid w:val="00A00566"/>
    <w:rsid w:val="00A0155A"/>
    <w:rsid w:val="00A030EF"/>
    <w:rsid w:val="00A067D4"/>
    <w:rsid w:val="00A1098D"/>
    <w:rsid w:val="00A1260B"/>
    <w:rsid w:val="00A142F0"/>
    <w:rsid w:val="00A14725"/>
    <w:rsid w:val="00A14B55"/>
    <w:rsid w:val="00A14FC2"/>
    <w:rsid w:val="00A157AB"/>
    <w:rsid w:val="00A16081"/>
    <w:rsid w:val="00A16328"/>
    <w:rsid w:val="00A2168B"/>
    <w:rsid w:val="00A23F1F"/>
    <w:rsid w:val="00A24AA3"/>
    <w:rsid w:val="00A32A0C"/>
    <w:rsid w:val="00A33B3B"/>
    <w:rsid w:val="00A36F82"/>
    <w:rsid w:val="00A40CCB"/>
    <w:rsid w:val="00A44A33"/>
    <w:rsid w:val="00A44FDD"/>
    <w:rsid w:val="00A45F46"/>
    <w:rsid w:val="00A518D6"/>
    <w:rsid w:val="00A56DD1"/>
    <w:rsid w:val="00A618E0"/>
    <w:rsid w:val="00A63901"/>
    <w:rsid w:val="00A65839"/>
    <w:rsid w:val="00A65A6A"/>
    <w:rsid w:val="00A7011B"/>
    <w:rsid w:val="00A726EF"/>
    <w:rsid w:val="00A72B6F"/>
    <w:rsid w:val="00A7336E"/>
    <w:rsid w:val="00A75077"/>
    <w:rsid w:val="00A768B6"/>
    <w:rsid w:val="00A823B8"/>
    <w:rsid w:val="00A85711"/>
    <w:rsid w:val="00A87D2F"/>
    <w:rsid w:val="00A911EB"/>
    <w:rsid w:val="00A97094"/>
    <w:rsid w:val="00AA0B5E"/>
    <w:rsid w:val="00AA2E90"/>
    <w:rsid w:val="00AA3AC2"/>
    <w:rsid w:val="00AA6991"/>
    <w:rsid w:val="00AB3B31"/>
    <w:rsid w:val="00AB3D3A"/>
    <w:rsid w:val="00AC02A9"/>
    <w:rsid w:val="00AC14E5"/>
    <w:rsid w:val="00AD1A60"/>
    <w:rsid w:val="00AD1A81"/>
    <w:rsid w:val="00AE0C3B"/>
    <w:rsid w:val="00AE1117"/>
    <w:rsid w:val="00AE180E"/>
    <w:rsid w:val="00AE3490"/>
    <w:rsid w:val="00AF03F5"/>
    <w:rsid w:val="00AF043B"/>
    <w:rsid w:val="00AF7B03"/>
    <w:rsid w:val="00B0716D"/>
    <w:rsid w:val="00B0729E"/>
    <w:rsid w:val="00B10697"/>
    <w:rsid w:val="00B16382"/>
    <w:rsid w:val="00B20ABB"/>
    <w:rsid w:val="00B21FEC"/>
    <w:rsid w:val="00B320FA"/>
    <w:rsid w:val="00B33057"/>
    <w:rsid w:val="00B34CC8"/>
    <w:rsid w:val="00B3621F"/>
    <w:rsid w:val="00B40762"/>
    <w:rsid w:val="00B42981"/>
    <w:rsid w:val="00B4392D"/>
    <w:rsid w:val="00B470DB"/>
    <w:rsid w:val="00B4796D"/>
    <w:rsid w:val="00B5054E"/>
    <w:rsid w:val="00B52F39"/>
    <w:rsid w:val="00B54BD5"/>
    <w:rsid w:val="00B60FA2"/>
    <w:rsid w:val="00B6489D"/>
    <w:rsid w:val="00B65B94"/>
    <w:rsid w:val="00B66F8A"/>
    <w:rsid w:val="00B708DE"/>
    <w:rsid w:val="00B7375D"/>
    <w:rsid w:val="00B757BF"/>
    <w:rsid w:val="00B76220"/>
    <w:rsid w:val="00B76874"/>
    <w:rsid w:val="00B80F7F"/>
    <w:rsid w:val="00B8382F"/>
    <w:rsid w:val="00B850B7"/>
    <w:rsid w:val="00B86A1D"/>
    <w:rsid w:val="00B903EE"/>
    <w:rsid w:val="00B91464"/>
    <w:rsid w:val="00B957CE"/>
    <w:rsid w:val="00BA283D"/>
    <w:rsid w:val="00BB0AA4"/>
    <w:rsid w:val="00BB19EE"/>
    <w:rsid w:val="00BB2215"/>
    <w:rsid w:val="00BB3DFC"/>
    <w:rsid w:val="00BB6397"/>
    <w:rsid w:val="00BB63D6"/>
    <w:rsid w:val="00BC1B99"/>
    <w:rsid w:val="00BC34A8"/>
    <w:rsid w:val="00BC66E9"/>
    <w:rsid w:val="00BC686A"/>
    <w:rsid w:val="00BC6A66"/>
    <w:rsid w:val="00BD22C8"/>
    <w:rsid w:val="00BD40CA"/>
    <w:rsid w:val="00BE0FAB"/>
    <w:rsid w:val="00BE4CE0"/>
    <w:rsid w:val="00BE661B"/>
    <w:rsid w:val="00BE775D"/>
    <w:rsid w:val="00BE796C"/>
    <w:rsid w:val="00BF486B"/>
    <w:rsid w:val="00C01C59"/>
    <w:rsid w:val="00C07E5C"/>
    <w:rsid w:val="00C1071F"/>
    <w:rsid w:val="00C11D9C"/>
    <w:rsid w:val="00C16B85"/>
    <w:rsid w:val="00C21275"/>
    <w:rsid w:val="00C234E0"/>
    <w:rsid w:val="00C24EBE"/>
    <w:rsid w:val="00C25C90"/>
    <w:rsid w:val="00C27036"/>
    <w:rsid w:val="00C44DCE"/>
    <w:rsid w:val="00C46A93"/>
    <w:rsid w:val="00C47F15"/>
    <w:rsid w:val="00C50B15"/>
    <w:rsid w:val="00C50EEF"/>
    <w:rsid w:val="00C517B6"/>
    <w:rsid w:val="00C54F7E"/>
    <w:rsid w:val="00C5565C"/>
    <w:rsid w:val="00C57EC4"/>
    <w:rsid w:val="00C60D98"/>
    <w:rsid w:val="00C61DB4"/>
    <w:rsid w:val="00C626B3"/>
    <w:rsid w:val="00C67455"/>
    <w:rsid w:val="00C82266"/>
    <w:rsid w:val="00C82FE5"/>
    <w:rsid w:val="00C83BB1"/>
    <w:rsid w:val="00C83FA5"/>
    <w:rsid w:val="00C869E4"/>
    <w:rsid w:val="00C91EE1"/>
    <w:rsid w:val="00C93D28"/>
    <w:rsid w:val="00C94230"/>
    <w:rsid w:val="00C95251"/>
    <w:rsid w:val="00C96473"/>
    <w:rsid w:val="00C97F02"/>
    <w:rsid w:val="00CB201B"/>
    <w:rsid w:val="00CB21A0"/>
    <w:rsid w:val="00CB773C"/>
    <w:rsid w:val="00CC1250"/>
    <w:rsid w:val="00CC3F8A"/>
    <w:rsid w:val="00CC5F3F"/>
    <w:rsid w:val="00CC6204"/>
    <w:rsid w:val="00CC7AB9"/>
    <w:rsid w:val="00CD06C0"/>
    <w:rsid w:val="00CD62EB"/>
    <w:rsid w:val="00CE3907"/>
    <w:rsid w:val="00CE41D7"/>
    <w:rsid w:val="00CE5AFE"/>
    <w:rsid w:val="00CE69F4"/>
    <w:rsid w:val="00CF4788"/>
    <w:rsid w:val="00CF478A"/>
    <w:rsid w:val="00CF727B"/>
    <w:rsid w:val="00CF77FB"/>
    <w:rsid w:val="00D06868"/>
    <w:rsid w:val="00D10E50"/>
    <w:rsid w:val="00D12F58"/>
    <w:rsid w:val="00D131CE"/>
    <w:rsid w:val="00D14F04"/>
    <w:rsid w:val="00D24495"/>
    <w:rsid w:val="00D27392"/>
    <w:rsid w:val="00D3048B"/>
    <w:rsid w:val="00D309D1"/>
    <w:rsid w:val="00D312BF"/>
    <w:rsid w:val="00D3140D"/>
    <w:rsid w:val="00D41768"/>
    <w:rsid w:val="00D50614"/>
    <w:rsid w:val="00D53239"/>
    <w:rsid w:val="00D563A7"/>
    <w:rsid w:val="00D57971"/>
    <w:rsid w:val="00D60954"/>
    <w:rsid w:val="00D60CF8"/>
    <w:rsid w:val="00D632D8"/>
    <w:rsid w:val="00D65CE1"/>
    <w:rsid w:val="00D6660E"/>
    <w:rsid w:val="00D66C50"/>
    <w:rsid w:val="00D72C5A"/>
    <w:rsid w:val="00D76358"/>
    <w:rsid w:val="00D87F06"/>
    <w:rsid w:val="00D9212C"/>
    <w:rsid w:val="00D93217"/>
    <w:rsid w:val="00D97678"/>
    <w:rsid w:val="00D97BAB"/>
    <w:rsid w:val="00DA28E7"/>
    <w:rsid w:val="00DB535C"/>
    <w:rsid w:val="00DC080A"/>
    <w:rsid w:val="00DC1792"/>
    <w:rsid w:val="00DC1DA8"/>
    <w:rsid w:val="00DC613C"/>
    <w:rsid w:val="00DC659D"/>
    <w:rsid w:val="00DC66F9"/>
    <w:rsid w:val="00DD02A1"/>
    <w:rsid w:val="00DD4841"/>
    <w:rsid w:val="00DD4C1D"/>
    <w:rsid w:val="00DE0BBA"/>
    <w:rsid w:val="00DE13AD"/>
    <w:rsid w:val="00DE3842"/>
    <w:rsid w:val="00DE55BF"/>
    <w:rsid w:val="00DE7A41"/>
    <w:rsid w:val="00DF220A"/>
    <w:rsid w:val="00DF6440"/>
    <w:rsid w:val="00DF71D2"/>
    <w:rsid w:val="00DF7A02"/>
    <w:rsid w:val="00E0125B"/>
    <w:rsid w:val="00E04E3B"/>
    <w:rsid w:val="00E05A62"/>
    <w:rsid w:val="00E07859"/>
    <w:rsid w:val="00E11E81"/>
    <w:rsid w:val="00E14361"/>
    <w:rsid w:val="00E1494D"/>
    <w:rsid w:val="00E14BF8"/>
    <w:rsid w:val="00E1664F"/>
    <w:rsid w:val="00E21591"/>
    <w:rsid w:val="00E232D6"/>
    <w:rsid w:val="00E23E13"/>
    <w:rsid w:val="00E24DBE"/>
    <w:rsid w:val="00E25C04"/>
    <w:rsid w:val="00E268FE"/>
    <w:rsid w:val="00E31436"/>
    <w:rsid w:val="00E34E77"/>
    <w:rsid w:val="00E35096"/>
    <w:rsid w:val="00E35AEE"/>
    <w:rsid w:val="00E40CE2"/>
    <w:rsid w:val="00E42234"/>
    <w:rsid w:val="00E43D3D"/>
    <w:rsid w:val="00E4492C"/>
    <w:rsid w:val="00E514DF"/>
    <w:rsid w:val="00E529ED"/>
    <w:rsid w:val="00E556A9"/>
    <w:rsid w:val="00E55878"/>
    <w:rsid w:val="00E574B2"/>
    <w:rsid w:val="00E577C2"/>
    <w:rsid w:val="00E615DC"/>
    <w:rsid w:val="00E624CE"/>
    <w:rsid w:val="00E63738"/>
    <w:rsid w:val="00E65017"/>
    <w:rsid w:val="00E65596"/>
    <w:rsid w:val="00E66CC6"/>
    <w:rsid w:val="00E66FC2"/>
    <w:rsid w:val="00E71C42"/>
    <w:rsid w:val="00E729DA"/>
    <w:rsid w:val="00E8023E"/>
    <w:rsid w:val="00E8152A"/>
    <w:rsid w:val="00E84A82"/>
    <w:rsid w:val="00E9600A"/>
    <w:rsid w:val="00EA08F9"/>
    <w:rsid w:val="00EA4522"/>
    <w:rsid w:val="00EB29B2"/>
    <w:rsid w:val="00EB62BF"/>
    <w:rsid w:val="00EC20A2"/>
    <w:rsid w:val="00EC263E"/>
    <w:rsid w:val="00EC6EF5"/>
    <w:rsid w:val="00ED13BF"/>
    <w:rsid w:val="00ED176D"/>
    <w:rsid w:val="00ED2005"/>
    <w:rsid w:val="00ED59D8"/>
    <w:rsid w:val="00EE0453"/>
    <w:rsid w:val="00EE3D7C"/>
    <w:rsid w:val="00EE5816"/>
    <w:rsid w:val="00EE6FFB"/>
    <w:rsid w:val="00EF1817"/>
    <w:rsid w:val="00EF36DB"/>
    <w:rsid w:val="00EF7778"/>
    <w:rsid w:val="00F000F5"/>
    <w:rsid w:val="00F005C5"/>
    <w:rsid w:val="00F02320"/>
    <w:rsid w:val="00F032E4"/>
    <w:rsid w:val="00F03A3C"/>
    <w:rsid w:val="00F06275"/>
    <w:rsid w:val="00F06FCC"/>
    <w:rsid w:val="00F128D5"/>
    <w:rsid w:val="00F1467C"/>
    <w:rsid w:val="00F152CF"/>
    <w:rsid w:val="00F160D1"/>
    <w:rsid w:val="00F16267"/>
    <w:rsid w:val="00F25984"/>
    <w:rsid w:val="00F26B56"/>
    <w:rsid w:val="00F27F01"/>
    <w:rsid w:val="00F373C9"/>
    <w:rsid w:val="00F375B4"/>
    <w:rsid w:val="00F42942"/>
    <w:rsid w:val="00F5078F"/>
    <w:rsid w:val="00F5152D"/>
    <w:rsid w:val="00F55A00"/>
    <w:rsid w:val="00F60CC0"/>
    <w:rsid w:val="00F630B1"/>
    <w:rsid w:val="00F63431"/>
    <w:rsid w:val="00F63B57"/>
    <w:rsid w:val="00F6512C"/>
    <w:rsid w:val="00F671E2"/>
    <w:rsid w:val="00F676A4"/>
    <w:rsid w:val="00F70801"/>
    <w:rsid w:val="00F7328F"/>
    <w:rsid w:val="00F77701"/>
    <w:rsid w:val="00F77747"/>
    <w:rsid w:val="00F8080F"/>
    <w:rsid w:val="00F86D4B"/>
    <w:rsid w:val="00F9095A"/>
    <w:rsid w:val="00F911EA"/>
    <w:rsid w:val="00F93DE8"/>
    <w:rsid w:val="00F9491C"/>
    <w:rsid w:val="00F95AFF"/>
    <w:rsid w:val="00F95EDA"/>
    <w:rsid w:val="00F966C9"/>
    <w:rsid w:val="00F96F94"/>
    <w:rsid w:val="00FA25E5"/>
    <w:rsid w:val="00FA4C17"/>
    <w:rsid w:val="00FA6EDC"/>
    <w:rsid w:val="00FB1307"/>
    <w:rsid w:val="00FB1B8F"/>
    <w:rsid w:val="00FB431E"/>
    <w:rsid w:val="00FC0E4C"/>
    <w:rsid w:val="00FC135F"/>
    <w:rsid w:val="00FC6F48"/>
    <w:rsid w:val="00FD104E"/>
    <w:rsid w:val="00FD2F56"/>
    <w:rsid w:val="00FD43EF"/>
    <w:rsid w:val="00FD46C3"/>
    <w:rsid w:val="00FF36B3"/>
    <w:rsid w:val="00FF6A6A"/>
    <w:rsid w:val="0207264A"/>
    <w:rsid w:val="06325CA0"/>
    <w:rsid w:val="0661CF3F"/>
    <w:rsid w:val="078C23FE"/>
    <w:rsid w:val="08FD2211"/>
    <w:rsid w:val="102F5AD0"/>
    <w:rsid w:val="13A6D80A"/>
    <w:rsid w:val="17907BDA"/>
    <w:rsid w:val="1A77D233"/>
    <w:rsid w:val="1A87C8A3"/>
    <w:rsid w:val="1ACD44CE"/>
    <w:rsid w:val="1F671395"/>
    <w:rsid w:val="1FC7C45B"/>
    <w:rsid w:val="228F5E9E"/>
    <w:rsid w:val="28DE2B48"/>
    <w:rsid w:val="2C8A4321"/>
    <w:rsid w:val="3B210973"/>
    <w:rsid w:val="3F117CAB"/>
    <w:rsid w:val="4820D937"/>
    <w:rsid w:val="4888B6A8"/>
    <w:rsid w:val="489D4119"/>
    <w:rsid w:val="4A09FDE4"/>
    <w:rsid w:val="4A37A066"/>
    <w:rsid w:val="4DBAAE19"/>
    <w:rsid w:val="4F531643"/>
    <w:rsid w:val="4FE0EDFB"/>
    <w:rsid w:val="56B7E364"/>
    <w:rsid w:val="660958F9"/>
    <w:rsid w:val="6835087D"/>
    <w:rsid w:val="74347ACB"/>
    <w:rsid w:val="757BDB6A"/>
    <w:rsid w:val="7620357D"/>
    <w:rsid w:val="7CBAF5D7"/>
    <w:rsid w:val="7ECCD951"/>
    <w:rsid w:val="7FC5B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2"/>
    </o:shapelayout>
  </w:shapeDefaults>
  <w:decimalSymbol w:val=","/>
  <w:listSeparator w:val=";"/>
  <w14:docId w14:val="51A3C042"/>
  <w15:docId w15:val="{DEE4A6F1-6F2D-924E-98ED-59779A5D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86A"/>
    <w:rPr>
      <w:rFonts w:ascii="Times New Roman" w:eastAsia="Batang" w:hAnsi="Times New Roman"/>
      <w:sz w:val="24"/>
      <w:szCs w:val="24"/>
    </w:rPr>
  </w:style>
  <w:style w:type="paragraph" w:styleId="Nadpis1">
    <w:name w:val="heading 1"/>
    <w:aliases w:val="V_Head1,h1,l1,Heading 1R,Kapitola,Záhlaví 1,H1,TOC 11,Nadpis dokumentu,ASAPHeading 1,Jméno organizace,kapitola,Subhead A,V_Head11,Záhlaví 11,V_Head12,Záhlaví 12,Kapitola1,V_Head111,Záhlaví 111,h11,V_Head13,Záhlaví 13,Kapitola2,V_Head112,h12,1"/>
    <w:basedOn w:val="Normln"/>
    <w:next w:val="Normln"/>
    <w:link w:val="Nadpis1Char"/>
    <w:uiPriority w:val="9"/>
    <w:qFormat/>
    <w:rsid w:val="00BC686A"/>
    <w:pPr>
      <w:keepNext/>
      <w:outlineLvl w:val="0"/>
    </w:pPr>
    <w:rPr>
      <w:rFonts w:eastAsia="Times New Roman"/>
      <w:b/>
      <w:sz w:val="16"/>
      <w:szCs w:val="20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7A42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Nadpis 3 Char Char Char"/>
    <w:basedOn w:val="Normln"/>
    <w:next w:val="Normln"/>
    <w:link w:val="Nadpis3Char"/>
    <w:uiPriority w:val="9"/>
    <w:qFormat/>
    <w:rsid w:val="00BC686A"/>
    <w:pPr>
      <w:keepNext/>
      <w:spacing w:line="240" w:lineRule="atLeast"/>
      <w:outlineLvl w:val="2"/>
    </w:pPr>
    <w:rPr>
      <w:rFonts w:eastAsia="Times New Roman"/>
      <w:b/>
      <w:color w:val="000000"/>
      <w:szCs w:val="20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EC20A2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EC20A2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EC20A2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adpis7">
    <w:name w:val="heading 7"/>
    <w:aliases w:val="Odstavec_2"/>
    <w:basedOn w:val="Normln"/>
    <w:next w:val="Normln"/>
    <w:link w:val="Nadpis7Char"/>
    <w:unhideWhenUsed/>
    <w:qFormat/>
    <w:locked/>
    <w:rsid w:val="00EC20A2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nhideWhenUsed/>
    <w:qFormat/>
    <w:locked/>
    <w:rsid w:val="00EC20A2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nhideWhenUsed/>
    <w:qFormat/>
    <w:locked/>
    <w:rsid w:val="00EC20A2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V_Head1 Char,h1 Char,l1 Char,Heading 1R Char,Kapitola Char,Záhlaví 1 Char,H1 Char,TOC 11 Char,Nadpis dokumentu Char,ASAPHeading 1 Char,Jméno organizace Char,kapitola Char,Subhead A Char,V_Head11 Char,Záhlaví 11 Char,V_Head12 Char,h11 Char"/>
    <w:basedOn w:val="Standardnpsmoodstavce"/>
    <w:link w:val="Nadpis1"/>
    <w:uiPriority w:val="99"/>
    <w:locked/>
    <w:rsid w:val="00BC686A"/>
    <w:rPr>
      <w:rFonts w:ascii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aliases w:val="Nadpis 3 Char Char Char Char"/>
    <w:basedOn w:val="Standardnpsmoodstavce"/>
    <w:link w:val="Nadpis3"/>
    <w:uiPriority w:val="9"/>
    <w:locked/>
    <w:rsid w:val="00BC686A"/>
    <w:rPr>
      <w:rFonts w:ascii="Times New Roman" w:hAnsi="Times New Roman" w:cs="Times New Roman"/>
      <w:b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BC686A"/>
    <w:pPr>
      <w:spacing w:after="120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locked/>
    <w:rsid w:val="00BC686A"/>
    <w:rPr>
      <w:rFonts w:ascii="Arial" w:hAnsi="Arial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BC686A"/>
    <w:rPr>
      <w:lang w:eastAsia="en-US"/>
    </w:rPr>
  </w:style>
  <w:style w:type="character" w:customStyle="1" w:styleId="BezmezerChar">
    <w:name w:val="Bez mezer Char"/>
    <w:link w:val="Bezmezer"/>
    <w:uiPriority w:val="1"/>
    <w:locked/>
    <w:rsid w:val="00BC686A"/>
    <w:rPr>
      <w:rFonts w:ascii="Calibri" w:eastAsia="Times New Roman" w:hAnsi="Calibri"/>
      <w:sz w:val="22"/>
      <w:lang w:val="cs-CZ" w:eastAsia="en-US"/>
    </w:rPr>
  </w:style>
  <w:style w:type="paragraph" w:styleId="Zhlav">
    <w:name w:val="header"/>
    <w:basedOn w:val="Normln"/>
    <w:link w:val="ZhlavChar"/>
    <w:uiPriority w:val="99"/>
    <w:rsid w:val="00BC68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C686A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C68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C686A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324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3241B"/>
    <w:rPr>
      <w:rFonts w:ascii="Tahoma" w:eastAsia="Batang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B757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57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57BF"/>
    <w:rPr>
      <w:rFonts w:ascii="Times New Roman" w:eastAsia="Batang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7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57BF"/>
    <w:rPr>
      <w:rFonts w:ascii="Times New Roman" w:eastAsia="Batang" w:hAnsi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nhideWhenUsed/>
    <w:rsid w:val="00B757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757BF"/>
    <w:rPr>
      <w:rFonts w:ascii="Times New Roman" w:eastAsia="Batang" w:hAnsi="Times New Roman"/>
      <w:sz w:val="20"/>
      <w:szCs w:val="20"/>
    </w:rPr>
  </w:style>
  <w:style w:type="character" w:styleId="Znakapoznpodarou">
    <w:name w:val="footnote reference"/>
    <w:basedOn w:val="Standardnpsmoodstavce"/>
    <w:unhideWhenUsed/>
    <w:rsid w:val="00B757BF"/>
    <w:rPr>
      <w:vertAlign w:val="superscript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0A3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7A42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Zhlav1">
    <w:name w:val="Záhlaví1"/>
    <w:rsid w:val="00ED200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Times New Roman" w:hAnsi="Times New Roman"/>
      <w:color w:val="000000"/>
      <w:sz w:val="24"/>
      <w:szCs w:val="24"/>
      <w:u w:color="000000"/>
      <w:bdr w:val="nil"/>
    </w:rPr>
  </w:style>
  <w:style w:type="table" w:styleId="Mkatabulky">
    <w:name w:val="Table Grid"/>
    <w:basedOn w:val="Normlntabulka"/>
    <w:uiPriority w:val="39"/>
    <w:locked/>
    <w:rsid w:val="004F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IMP2">
    <w:name w:val="Normální_IMP~2"/>
    <w:basedOn w:val="Normln"/>
    <w:rsid w:val="00DC659D"/>
    <w:pPr>
      <w:widowControl w:val="0"/>
      <w:spacing w:line="276" w:lineRule="auto"/>
    </w:pPr>
    <w:rPr>
      <w:rFonts w:eastAsia="Times New Roman"/>
      <w:szCs w:val="20"/>
    </w:rPr>
  </w:style>
  <w:style w:type="numbering" w:customStyle="1" w:styleId="Importovanstyl6">
    <w:name w:val="Importovaný styl 6"/>
    <w:rsid w:val="00967C20"/>
    <w:pPr>
      <w:numPr>
        <w:numId w:val="13"/>
      </w:numPr>
    </w:pPr>
  </w:style>
  <w:style w:type="character" w:styleId="Hypertextovodkaz">
    <w:name w:val="Hyperlink"/>
    <w:basedOn w:val="Standardnpsmoodstavce"/>
    <w:uiPriority w:val="99"/>
    <w:unhideWhenUsed/>
    <w:rsid w:val="00285D0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5D0C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06FC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06FCC"/>
    <w:rPr>
      <w:rFonts w:ascii="Times New Roman" w:eastAsia="Batang" w:hAnsi="Times New Roman"/>
      <w:sz w:val="24"/>
      <w:szCs w:val="24"/>
    </w:rPr>
  </w:style>
  <w:style w:type="paragraph" w:styleId="Revize">
    <w:name w:val="Revision"/>
    <w:hidden/>
    <w:uiPriority w:val="99"/>
    <w:semiHidden/>
    <w:rsid w:val="009814FC"/>
    <w:rPr>
      <w:rFonts w:ascii="Times New Roman" w:eastAsia="Batang" w:hAnsi="Times New Roman"/>
      <w:sz w:val="24"/>
      <w:szCs w:val="24"/>
    </w:rPr>
  </w:style>
  <w:style w:type="paragraph" w:customStyle="1" w:styleId="odrakyrds">
    <w:name w:val="odražky rds"/>
    <w:basedOn w:val="Normln"/>
    <w:rsid w:val="00A726EF"/>
    <w:pPr>
      <w:numPr>
        <w:numId w:val="14"/>
      </w:numPr>
      <w:spacing w:line="300" w:lineRule="auto"/>
      <w:jc w:val="both"/>
    </w:pPr>
    <w:rPr>
      <w:rFonts w:ascii="Arial" w:eastAsia="Times New Roman" w:hAnsi="Arial" w:cs="Arial"/>
      <w:sz w:val="22"/>
    </w:rPr>
  </w:style>
  <w:style w:type="paragraph" w:customStyle="1" w:styleId="normalodsazene">
    <w:name w:val="normalodsazene"/>
    <w:basedOn w:val="Normln"/>
    <w:rsid w:val="00A726EF"/>
    <w:pPr>
      <w:spacing w:before="100" w:beforeAutospacing="1" w:after="100" w:afterAutospacing="1"/>
    </w:pPr>
    <w:rPr>
      <w:rFonts w:eastAsia="Times New Roman"/>
      <w:sz w:val="20"/>
    </w:rPr>
  </w:style>
  <w:style w:type="character" w:customStyle="1" w:styleId="Nadpis4Char">
    <w:name w:val="Nadpis 4 Char"/>
    <w:basedOn w:val="Standardnpsmoodstavce"/>
    <w:link w:val="Nadpis4"/>
    <w:rsid w:val="00EC20A2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Nadpis5Char">
    <w:name w:val="Nadpis 5 Char"/>
    <w:basedOn w:val="Standardnpsmoodstavce"/>
    <w:link w:val="Nadpis5"/>
    <w:rsid w:val="00EC20A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adpis6Char">
    <w:name w:val="Nadpis 6 Char"/>
    <w:basedOn w:val="Standardnpsmoodstavce"/>
    <w:link w:val="Nadpis6"/>
    <w:rsid w:val="00EC20A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Nadpis7Char">
    <w:name w:val="Nadpis 7 Char"/>
    <w:aliases w:val="Odstavec_2 Char"/>
    <w:basedOn w:val="Standardnpsmoodstavce"/>
    <w:link w:val="Nadpis7"/>
    <w:rsid w:val="00EC20A2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Nadpis8Char">
    <w:name w:val="Nadpis 8 Char"/>
    <w:basedOn w:val="Standardnpsmoodstavce"/>
    <w:link w:val="Nadpis8"/>
    <w:rsid w:val="00EC20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rsid w:val="00EC20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Odrky">
    <w:name w:val="Odrážky"/>
    <w:qFormat/>
    <w:rsid w:val="00EC20A2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rsid w:val="00EC20A2"/>
    <w:pPr>
      <w:keepNext/>
      <w:widowControl w:val="0"/>
      <w:suppressAutoHyphens/>
      <w:spacing w:before="240" w:after="120"/>
      <w:jc w:val="both"/>
    </w:pPr>
    <w:rPr>
      <w:rFonts w:ascii="Liberation Sans" w:eastAsia="Microsoft YaHei" w:hAnsi="Liberation Sans" w:cs="Lucida Sans"/>
      <w:color w:val="000000"/>
      <w:sz w:val="28"/>
      <w:szCs w:val="28"/>
      <w:lang w:eastAsia="zh-CN" w:bidi="hi-IN"/>
    </w:rPr>
  </w:style>
  <w:style w:type="paragraph" w:customStyle="1" w:styleId="Obsahtabulky">
    <w:name w:val="Obsah tabulky"/>
    <w:basedOn w:val="Normln"/>
    <w:qFormat/>
    <w:rsid w:val="00EC20A2"/>
    <w:pPr>
      <w:widowControl w:val="0"/>
      <w:suppressLineNumbers/>
      <w:suppressAutoHyphens/>
      <w:jc w:val="both"/>
    </w:pPr>
    <w:rPr>
      <w:rFonts w:ascii="Liberation Serif" w:eastAsia="Segoe UI" w:hAnsi="Liberation Serif" w:cs="Tahoma"/>
      <w:color w:val="000000"/>
      <w:lang w:eastAsia="zh-CN" w:bidi="hi-IN"/>
    </w:rPr>
  </w:style>
  <w:style w:type="paragraph" w:customStyle="1" w:styleId="Nadpistabulky">
    <w:name w:val="Nadpis tabulky"/>
    <w:basedOn w:val="Obsahtabulky"/>
    <w:qFormat/>
    <w:rsid w:val="00EC20A2"/>
    <w:pPr>
      <w:jc w:val="center"/>
    </w:pPr>
    <w:rPr>
      <w:b/>
      <w:bCs/>
    </w:rPr>
  </w:style>
  <w:style w:type="paragraph" w:customStyle="1" w:styleId="Normlntabulka1">
    <w:name w:val="Normální tabulka1"/>
    <w:qFormat/>
    <w:rsid w:val="00EC20A2"/>
    <w:pPr>
      <w:suppressAutoHyphens/>
      <w:spacing w:after="160" w:line="256" w:lineRule="auto"/>
    </w:pPr>
    <w:rPr>
      <w:rFonts w:eastAsia="Symbol"/>
      <w:color w:val="000000"/>
      <w:lang w:eastAsia="en-US"/>
    </w:r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EC20A2"/>
    <w:rPr>
      <w:rFonts w:ascii="Times New Roman" w:eastAsia="Batang" w:hAnsi="Times New Roman"/>
      <w:sz w:val="24"/>
      <w:szCs w:val="24"/>
    </w:rPr>
  </w:style>
  <w:style w:type="paragraph" w:styleId="Titulek">
    <w:name w:val="caption"/>
    <w:basedOn w:val="Normln"/>
    <w:next w:val="Normln"/>
    <w:uiPriority w:val="35"/>
    <w:unhideWhenUsed/>
    <w:qFormat/>
    <w:locked/>
    <w:rsid w:val="00EC20A2"/>
    <w:pPr>
      <w:widowControl w:val="0"/>
      <w:suppressAutoHyphens/>
      <w:spacing w:after="200"/>
      <w:jc w:val="both"/>
    </w:pPr>
    <w:rPr>
      <w:rFonts w:ascii="Liberation Serif" w:eastAsia="Segoe UI" w:hAnsi="Liberation Serif" w:cs="Mangal"/>
      <w:i/>
      <w:iCs/>
      <w:color w:val="1F497D" w:themeColor="text2"/>
      <w:sz w:val="18"/>
      <w:szCs w:val="16"/>
      <w:lang w:eastAsia="zh-CN" w:bidi="hi-IN"/>
    </w:rPr>
  </w:style>
  <w:style w:type="paragraph" w:customStyle="1" w:styleId="Default">
    <w:name w:val="Default"/>
    <w:basedOn w:val="Normln"/>
    <w:rsid w:val="00AB3B31"/>
    <w:pPr>
      <w:autoSpaceDE w:val="0"/>
      <w:autoSpaceDN w:val="0"/>
    </w:pPr>
    <w:rPr>
      <w:rFonts w:ascii="Verdana" w:eastAsiaTheme="minorHAnsi" w:hAnsi="Verdana" w:cs="Calibri"/>
      <w:color w:val="000000"/>
      <w:lang w:eastAsia="en-US"/>
    </w:rPr>
  </w:style>
  <w:style w:type="table" w:customStyle="1" w:styleId="FST">
    <w:name w:val="FST"/>
    <w:basedOn w:val="Normlntabulka"/>
    <w:uiPriority w:val="99"/>
    <w:rsid w:val="0075035D"/>
    <w:rPr>
      <w:rFonts w:ascii="Verdana" w:eastAsiaTheme="minorHAnsi" w:hAnsi="Verdana" w:cstheme="minorBidi"/>
      <w:sz w:val="18"/>
      <w:lang w:eastAsia="en-US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auto"/>
      <w:vAlign w:val="center"/>
    </w:tcPr>
    <w:tblStylePr w:type="firstRow">
      <w:rPr>
        <w:b/>
        <w:color w:val="FFFFFF" w:themeColor="background1"/>
      </w:rPr>
      <w:tblPr/>
      <w:tcPr>
        <w:shd w:val="clear" w:color="auto" w:fill="002170"/>
      </w:tcPr>
    </w:tblStylePr>
  </w:style>
  <w:style w:type="paragraph" w:customStyle="1" w:styleId="Odrazky">
    <w:name w:val="Odrazky"/>
    <w:basedOn w:val="Odstavecseseznamem"/>
    <w:link w:val="OdrazkyChar"/>
    <w:qFormat/>
    <w:rsid w:val="0075035D"/>
    <w:pPr>
      <w:numPr>
        <w:numId w:val="15"/>
      </w:numPr>
      <w:jc w:val="both"/>
    </w:pPr>
    <w:rPr>
      <w:rFonts w:ascii="Verdana" w:eastAsia="Times New Roman" w:hAnsi="Verdana"/>
      <w:sz w:val="18"/>
      <w:szCs w:val="18"/>
    </w:rPr>
  </w:style>
  <w:style w:type="character" w:customStyle="1" w:styleId="OdrazkyChar">
    <w:name w:val="Odrazky Char"/>
    <w:basedOn w:val="Standardnpsmoodstavce"/>
    <w:link w:val="Odrazky"/>
    <w:rsid w:val="0075035D"/>
    <w:rPr>
      <w:rFonts w:ascii="Verdana" w:eastAsia="Times New Roman" w:hAnsi="Verdana"/>
      <w:sz w:val="18"/>
      <w:szCs w:val="18"/>
    </w:rPr>
  </w:style>
  <w:style w:type="table" w:styleId="Svtltabulkasmkou1">
    <w:name w:val="Grid Table 1 Light"/>
    <w:basedOn w:val="Normlntabulka"/>
    <w:uiPriority w:val="46"/>
    <w:rsid w:val="00535D64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WWNum16">
    <w:name w:val="WWNum16"/>
    <w:rsid w:val="007C2364"/>
    <w:pPr>
      <w:numPr>
        <w:numId w:val="16"/>
      </w:numPr>
    </w:pPr>
  </w:style>
  <w:style w:type="numbering" w:customStyle="1" w:styleId="WWNum15">
    <w:name w:val="WWNum15"/>
    <w:rsid w:val="007C2364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4DAC24AA8256459AC8518AE97DBC7F" ma:contentTypeVersion="4" ma:contentTypeDescription="Vytvoří nový dokument" ma:contentTypeScope="" ma:versionID="6e3e51c5f21ca289703d9d0ee8f314b0">
  <xsd:schema xmlns:xsd="http://www.w3.org/2001/XMLSchema" xmlns:xs="http://www.w3.org/2001/XMLSchema" xmlns:p="http://schemas.microsoft.com/office/2006/metadata/properties" xmlns:ns2="dc195457-dd9c-467f-93f6-547754c5f24a" targetNamespace="http://schemas.microsoft.com/office/2006/metadata/properties" ma:root="true" ma:fieldsID="1e26ca135984850b4cfd32656c644ef7" ns2:_="">
    <xsd:import namespace="dc195457-dd9c-467f-93f6-547754c5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95457-dd9c-467f-93f6-547754c5f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2E2BA4-FFAF-477D-AADF-83F2B8161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95457-dd9c-467f-93f6-547754c5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76B5A-7511-477C-81D9-21EE59444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E80A92-6582-4DE0-A1AE-C96DA582AE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C60C32-0A2B-4EA5-81C6-5AC919E1D6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23</Pages>
  <Words>7919</Words>
  <Characters>47719</Characters>
  <Application>Microsoft Office Word</Application>
  <DocSecurity>0</DocSecurity>
  <Lines>397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Manager/>
  <Company/>
  <LinksUpToDate>false</LinksUpToDate>
  <CharactersWithSpaces>55527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Nikola Veverkova</dc:creator>
  <cp:keywords/>
  <dc:description/>
  <cp:lastModifiedBy>Mgr. Ing. Ladislav Kavřík</cp:lastModifiedBy>
  <cp:revision>82</cp:revision>
  <cp:lastPrinted>2013-07-22T17:36:00Z</cp:lastPrinted>
  <dcterms:created xsi:type="dcterms:W3CDTF">2025-05-13T13:59:00Z</dcterms:created>
  <dcterms:modified xsi:type="dcterms:W3CDTF">2025-10-31T10:14:00Z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0x0101004E4DAC24AA8256459AC8518AE97DBC7F</vt:lpwstr>
  </property>
</Properties>
</file>