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752E8C" w:rsidP="0088447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Dodávka 1 ks </w:t>
            </w:r>
            <w:r w:rsidR="0015519C">
              <w:rPr>
                <w:rFonts w:ascii="Calibri" w:hAnsi="Calibri" w:cs="Calibri"/>
                <w:b/>
                <w:sz w:val="22"/>
                <w:szCs w:val="22"/>
              </w:rPr>
              <w:t>laparoskopické věže pro COS Svitavské nemocnice</w:t>
            </w: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  <w:bookmarkStart w:id="0" w:name="_GoBack"/>
            <w:bookmarkEnd w:id="0"/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085ABC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Sazba </w:t>
            </w:r>
            <w:r w:rsidR="002D6742"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  <w:r w:rsidR="00797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 Kč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2D6742" w:rsidRPr="00C52FD4" w:rsidRDefault="002D6742" w:rsidP="002D674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 jeho nabídka v plném rozsahu splňuje veškeré požadavky uvedené zadavatelem v zadávací dokumentaci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uchazeč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15519C" w:rsidRPr="00C52FD4" w:rsidRDefault="0015519C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P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42"/>
    <w:rsid w:val="00055CBB"/>
    <w:rsid w:val="00085ABC"/>
    <w:rsid w:val="0015519C"/>
    <w:rsid w:val="002D6742"/>
    <w:rsid w:val="0031616D"/>
    <w:rsid w:val="00386657"/>
    <w:rsid w:val="003E5E6D"/>
    <w:rsid w:val="004140D8"/>
    <w:rsid w:val="004A3786"/>
    <w:rsid w:val="00752E8C"/>
    <w:rsid w:val="00797AE1"/>
    <w:rsid w:val="00797F91"/>
    <w:rsid w:val="008E32FD"/>
    <w:rsid w:val="009677D7"/>
    <w:rsid w:val="00AF2FDA"/>
    <w:rsid w:val="00C76004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C52C64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14</cp:revision>
  <dcterms:created xsi:type="dcterms:W3CDTF">2016-08-05T10:10:00Z</dcterms:created>
  <dcterms:modified xsi:type="dcterms:W3CDTF">2017-05-05T08:35:00Z</dcterms:modified>
</cp:coreProperties>
</file>