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Čestné prohlášení v rámci projektu Komunální FVE – </w:t>
      </w:r>
      <w:r w:rsidDel="00000000" w:rsidR="00000000" w:rsidRPr="00000000">
        <w:rPr>
          <w:sz w:val="28"/>
          <w:szCs w:val="28"/>
          <w:highlight w:val="cyan"/>
          <w:rtl w:val="0"/>
        </w:rPr>
        <w:t xml:space="preserve">[bude doplněno před uzavřením smlouvy]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Čestné prohlášení se vydává za účelem žádosti o dotaci v rámci výzvy RES+ č. 4/2024 – Komunální FVE na budovách a další infrastruktuře.</w:t>
      </w:r>
    </w:p>
    <w:p w:rsidR="00000000" w:rsidDel="00000000" w:rsidP="00000000" w:rsidRDefault="00000000" w:rsidRPr="00000000" w14:paraId="00000003">
      <w:pPr>
        <w:jc w:val="both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Já, </w:t>
      </w:r>
      <w:r w:rsidDel="00000000" w:rsidR="00000000" w:rsidRPr="00000000">
        <w:rPr>
          <w:highlight w:val="cyan"/>
          <w:rtl w:val="0"/>
        </w:rPr>
        <w:t xml:space="preserve">[identifikace statutárního zástupce zhotovitele - bude doplněno před uzavřením smlouvy]</w:t>
      </w:r>
      <w:r w:rsidDel="00000000" w:rsidR="00000000" w:rsidRPr="00000000">
        <w:rPr>
          <w:rtl w:val="0"/>
        </w:rPr>
        <w:t xml:space="preserve"> zástupce společnosti </w:t>
      </w:r>
      <w:r w:rsidDel="00000000" w:rsidR="00000000" w:rsidRPr="00000000">
        <w:rPr>
          <w:highlight w:val="cyan"/>
          <w:rtl w:val="0"/>
        </w:rPr>
        <w:t xml:space="preserve">[identifikace zhotovitele - bude doplněno před uzavřením smlouvy]</w:t>
      </w:r>
      <w:r w:rsidDel="00000000" w:rsidR="00000000" w:rsidRPr="00000000">
        <w:rPr>
          <w:rtl w:val="0"/>
        </w:rPr>
        <w:t xml:space="preserve"> tímto čestně prohlašuji, že v rámci realizace projektu „Komunální FVE – </w:t>
      </w:r>
      <w:r w:rsidDel="00000000" w:rsidR="00000000" w:rsidRPr="00000000">
        <w:rPr>
          <w:highlight w:val="cyan"/>
          <w:rtl w:val="0"/>
        </w:rPr>
        <w:t xml:space="preserve">[bude doplněno před uzavřením smlouvy]</w:t>
      </w:r>
      <w:r w:rsidDel="00000000" w:rsidR="00000000" w:rsidRPr="00000000">
        <w:rPr>
          <w:rtl w:val="0"/>
        </w:rPr>
        <w:t xml:space="preserve">“ Splňuji následující podmínky stanovené výzvou MODF – RES+ č. 3/2022: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Fotovoltaické moduly splňující normy IEC 61215, IEC 61730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Měniče splňující normy IEC 62116, normy řady IEC 61000 dle typu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Elektrické akumulátory dle typu akumulátoru (pro nejčastější lithiové akumulátory IEC 63056:2020 nebo IEC 62619/2017 nebo IEC 62620/2014)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FVE musí dosahovat minimálně níže uvedených účinností při standardních testovacích podmínkách: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19,0 % pro monofaciální moduly z monokrystalického křemíku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18,0 % pro monofaciální moduly z multikrystalického křemíku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19,0 % pro bifaciální moduly při 0 % bifaciálním zisku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12,0 % pro tenkovrstvé moduly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Nestanoveno pro speciální výrobky a použití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Měniče musí dosahovat níže uvedené účinnosti: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97,0 % (Euro účinnost)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Při realizaci bylo využito výhradně komponentů s garantovanou životností: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FVE min. 20letá lineární záruka na výkon s max. poklesem na 80 % původního výkonu garantovanou výrobcem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FVE min. 10letá produktová záruka garantovaná výrobcem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Záruka výrobce či dodavatele na měniče trvající min. 10 let na jeho bezodkladnou výměnu či adekvátní náhradu v případě poruchy či poškození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Záruka na elektrické akumulátory s max. poklesem na 60% nominální kapacity po 10 letech provozu, nebo dosažení min. 2 400násobku nominální energie (Energy Throughput)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Instalované měniče musí být vybaveny plynulou, nebo diskrétní řiditelností dodávaného výkonu do elektrizační soustavy umožňující změnu dodávaného výkonu výrobny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Podpora na vybudování systému bateriové akumulace vyrobené elektřiny může být poskytnuta pouze pro systémy s využitelnou kapacitou v rozsahu min. 20 % a max. 100 % z teoretické hodinové výroby při instalovaném špičkovém výkonu FVE.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 případě bateriové akumulace s technologií na bázi olova nebo NiCd jsou podporovány pouze baterie se zajištěnou následnou recyklací (uzavřený cyklus). Účinnost recyklace konkrétního zpracovatele musí být podložena výpočtem dle nařízení EU č. 493/2012, přičemž účinnost recyklace musí být v souladu se směrnicí Evropského parlamentu a rady č. 2006/66/ES pro: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NiCd baterie min. 75 % celkově a 99 % pro Cd,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Baterie na bázi olova min 65 % celkově a 97 % pro Pb,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Ostatní technologie (např. lithium, NiMH) není prokázání způsobu následné likvidace bateriového systému požadováno.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highlight w:val="cyan"/>
          <w:rtl w:val="0"/>
        </w:rPr>
        <w:t xml:space="preserve">[podpis statutárního zástupce - bude doplněno před uzavřením smlouvy]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n" w:default="1">
    <w:name w:val="Normal"/>
    <w:qFormat w:val="1"/>
  </w:style>
  <w:style w:type="paragraph" w:styleId="Nadpis1">
    <w:name w:val="heading 1"/>
    <w:basedOn w:val="Normln"/>
    <w:next w:val="Normln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dpis2">
    <w:name w:val="heading 2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dpis3">
    <w:name w:val="heading 3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dpis4">
    <w:name w:val="heading 4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dpis5">
    <w:name w:val="heading 5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dpis6">
    <w:name w:val="heading 6"/>
    <w:basedOn w:val="Normln"/>
    <w:next w:val="Normln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zev">
    <w:name w:val="Title"/>
    <w:basedOn w:val="Normln"/>
    <w:next w:val="Normln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odnadpis">
    <w:name w:val="Subtitle"/>
    <w:basedOn w:val="Normln"/>
    <w:next w:val="Normln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Odstavecseseznamem">
    <w:name w:val="List Paragraph"/>
    <w:basedOn w:val="Normln"/>
    <w:uiPriority w:val="34"/>
    <w:qFormat w:val="1"/>
    <w:rsid w:val="00E5346E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ABt3Hpd4AusZCDDTD4/SfHCJrg==">CgMxLjAyCGguZ2pkZ3hzMgloLjMwajB6bGw4AHIhMVNxQTVzNHY2Nmd5bFEwYnRzZC1nTms2WkZwS0FWTFVt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2024-01-26T10:30:00Z</dcterms:created>
  <dc:creator>Vilém Maur</dc:creator>
</cp:coreProperties>
</file>