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9997" w14:textId="76774ACE" w:rsidR="00052053" w:rsidRPr="00237C62" w:rsidRDefault="00237C62" w:rsidP="00237C62">
      <w:pPr>
        <w:jc w:val="center"/>
        <w:rPr>
          <w:b/>
          <w:bCs/>
          <w:sz w:val="28"/>
          <w:szCs w:val="28"/>
        </w:rPr>
      </w:pPr>
      <w:r w:rsidRPr="00237C62">
        <w:rPr>
          <w:b/>
          <w:bCs/>
          <w:sz w:val="28"/>
          <w:szCs w:val="28"/>
        </w:rPr>
        <w:t>Příloha 2 – Podklady pro světelné výpočty</w:t>
      </w:r>
    </w:p>
    <w:p w14:paraId="597DA7C9" w14:textId="449ABA0A" w:rsidR="00237C62" w:rsidRPr="00237C62" w:rsidRDefault="00237C62" w:rsidP="00237C62">
      <w:pPr>
        <w:rPr>
          <w:rFonts w:cstheme="minorHAnsi"/>
        </w:rPr>
      </w:pPr>
    </w:p>
    <w:p w14:paraId="2AB4FEAE" w14:textId="77777777" w:rsidR="00237C62" w:rsidRDefault="00237C62" w:rsidP="00237C62">
      <w:pPr>
        <w:pStyle w:val="Odstavecstyl"/>
        <w:rPr>
          <w:rFonts w:asciiTheme="minorHAnsi" w:hAnsiTheme="minorHAnsi" w:cstheme="minorHAnsi"/>
        </w:rPr>
      </w:pPr>
    </w:p>
    <w:p w14:paraId="65DD6F9B" w14:textId="77777777" w:rsidR="00237C62" w:rsidRDefault="00237C62" w:rsidP="00237C62">
      <w:pPr>
        <w:pStyle w:val="Odstavecstyl"/>
        <w:rPr>
          <w:rFonts w:asciiTheme="minorHAnsi" w:hAnsiTheme="minorHAnsi" w:cstheme="minorHAnsi"/>
        </w:rPr>
      </w:pPr>
    </w:p>
    <w:p w14:paraId="195C69D3" w14:textId="77777777" w:rsidR="00237C62" w:rsidRDefault="00237C62" w:rsidP="00237C62">
      <w:pPr>
        <w:pStyle w:val="Odstavecstyl"/>
        <w:rPr>
          <w:rFonts w:asciiTheme="minorHAnsi" w:hAnsiTheme="minorHAnsi" w:cstheme="minorHAnsi"/>
        </w:rPr>
      </w:pPr>
    </w:p>
    <w:p w14:paraId="0922F663" w14:textId="77777777" w:rsidR="00237C62" w:rsidRDefault="00237C62" w:rsidP="00237C62">
      <w:pPr>
        <w:pStyle w:val="Odstavecstyl"/>
        <w:rPr>
          <w:rFonts w:asciiTheme="minorHAnsi" w:hAnsiTheme="minorHAnsi" w:cstheme="minorHAnsi"/>
        </w:rPr>
      </w:pPr>
    </w:p>
    <w:p w14:paraId="5277A3EA" w14:textId="09547BED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>Tato příloha je nedílnou součástí Zadávací dokumentace a obsahuje podklady zadavatele na zpracování vzorových světelně-technických výpočtů.</w:t>
      </w:r>
    </w:p>
    <w:p w14:paraId="52D822BF" w14:textId="77777777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</w:p>
    <w:p w14:paraId="48B9D1F4" w14:textId="112C643A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>Pro porovnání zpracují účastníci světelně-technické výpočty dle níže uvedených parametrů stanovených pro danou pozemní komunikaci a výpočet rušivého osvětlení, které budou podkladem pro potvrzení světelně-technických parametrů navrhovaných svítidel v souladu s normou ČSN EN 13 201 a ČSN EN 12 464-2. Aby bylo možné navržená řešení porovnávat, mohou být zadavatelem všechny výpočty pro porovnání zkontrolovány a přepočteny v jednotném výpočetním programu. Jako doplněk výpočtu je nutné dodat světelně-technické parametry svítidel v datové (eulumdata) i tištěné podobě (světelná vyzařovací charakteristika s jednotkami).</w:t>
      </w:r>
    </w:p>
    <w:p w14:paraId="1BB84BF1" w14:textId="77777777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>Dále účastník dodá světelně technické výpočty pro všechny komunikace v programu DIALux evo v otevřeném formátu (formát EVO (. evo)), který je volně dostupný.</w:t>
      </w:r>
    </w:p>
    <w:p w14:paraId="08462F46" w14:textId="77777777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</w:p>
    <w:p w14:paraId="0790584A" w14:textId="77777777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 xml:space="preserve">V případě zkreslení jakýchkoli předaných technických informací bude účastník ze zadávacího řízení vyloučen bez nároku na odvolání, neboť by se jednalo o podvod. </w:t>
      </w:r>
      <w:bookmarkStart w:id="0" w:name="_Hlk505508696"/>
      <w:r w:rsidRPr="00237C62">
        <w:rPr>
          <w:rFonts w:asciiTheme="minorHAnsi" w:hAnsiTheme="minorHAnsi" w:cstheme="minorHAnsi"/>
        </w:rPr>
        <w:t xml:space="preserve">Účastník zadávacího řízení bere na vědomí, že výsledky </w:t>
      </w:r>
      <w:bookmarkEnd w:id="0"/>
      <w:r w:rsidRPr="00237C62">
        <w:rPr>
          <w:rFonts w:asciiTheme="minorHAnsi" w:hAnsiTheme="minorHAnsi" w:cstheme="minorHAnsi"/>
        </w:rPr>
        <w:t>světelně-technických výpočtů (jak silničních, tak rušivého osvětlení) dle podkladu budou následně měřeny autorizovanou osobou, a to v souladu s požadavky dotačního titulu.</w:t>
      </w:r>
    </w:p>
    <w:p w14:paraId="4797C9C7" w14:textId="6F0DAF41" w:rsidR="00237C62" w:rsidRDefault="00237C62" w:rsidP="00237C62">
      <w:pPr>
        <w:rPr>
          <w:rFonts w:cstheme="minorHAnsi"/>
          <w:b/>
        </w:rPr>
      </w:pPr>
    </w:p>
    <w:p w14:paraId="7B093490" w14:textId="77777777" w:rsidR="00237C62" w:rsidRPr="00237C62" w:rsidRDefault="00237C62" w:rsidP="00237C62">
      <w:pPr>
        <w:rPr>
          <w:rFonts w:cstheme="minorHAnsi"/>
          <w:b/>
        </w:rPr>
      </w:pPr>
    </w:p>
    <w:p w14:paraId="4C121D02" w14:textId="77777777" w:rsidR="00237C62" w:rsidRDefault="00237C62">
      <w:pPr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br w:type="page"/>
      </w:r>
    </w:p>
    <w:p w14:paraId="2524A84B" w14:textId="2B328481" w:rsidR="00237C62" w:rsidRPr="00237C62" w:rsidRDefault="00237C62" w:rsidP="00237C62">
      <w:pPr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237C62">
        <w:rPr>
          <w:rFonts w:eastAsia="Times New Roman" w:cstheme="minorHAnsi"/>
          <w:b/>
          <w:sz w:val="20"/>
          <w:szCs w:val="20"/>
          <w:lang w:eastAsia="cs-CZ"/>
        </w:rPr>
        <w:lastRenderedPageBreak/>
        <w:t xml:space="preserve">Konfigurace jednotlivých úseků komunikací pro světelně technické výpočty </w:t>
      </w:r>
    </w:p>
    <w:p w14:paraId="0A59064A" w14:textId="7C2081E5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>V tabulce níže jsou uvedeny vzorové světelně technické výpočty pro jednotlivé úseky komunikací. Účastník musí dodržet tyto konfigurace. Jediný parametr, který může účastník měnit je „Sklon ramene“.</w:t>
      </w:r>
    </w:p>
    <w:p w14:paraId="7EDFDA4F" w14:textId="1FDBFF7B" w:rsidR="00237C62" w:rsidRPr="00237C62" w:rsidRDefault="00237C62" w:rsidP="00237C62">
      <w:pPr>
        <w:rPr>
          <w:rFonts w:cstheme="minorHAnsi"/>
        </w:rPr>
      </w:pPr>
    </w:p>
    <w:p w14:paraId="1689FDEB" w14:textId="44831A86" w:rsidR="00237C62" w:rsidRPr="00237C62" w:rsidRDefault="00237C62" w:rsidP="00237C62">
      <w:pPr>
        <w:pStyle w:val="Odstavecstyl"/>
        <w:rPr>
          <w:rFonts w:asciiTheme="minorHAnsi" w:hAnsiTheme="minorHAnsi" w:cstheme="minorHAnsi"/>
          <w:b/>
        </w:rPr>
      </w:pPr>
      <w:r w:rsidRPr="004614B6">
        <w:rPr>
          <w:rFonts w:asciiTheme="minorHAnsi" w:hAnsiTheme="minorHAnsi" w:cstheme="minorHAnsi"/>
          <w:b/>
        </w:rPr>
        <w:t>U všech výpočtů musí být použit udržovací činitel 0,90.</w:t>
      </w:r>
    </w:p>
    <w:p w14:paraId="46DEE41B" w14:textId="77777777" w:rsidR="00237C62" w:rsidRPr="00237C62" w:rsidRDefault="00237C62" w:rsidP="00237C62">
      <w:pPr>
        <w:pStyle w:val="Odstavecstyl"/>
        <w:rPr>
          <w:rFonts w:asciiTheme="minorHAnsi" w:hAnsiTheme="minorHAnsi" w:cstheme="minorHAnsi"/>
          <w:b/>
        </w:rPr>
      </w:pPr>
    </w:p>
    <w:p w14:paraId="6FE1C170" w14:textId="77777777" w:rsidR="00237C62" w:rsidRPr="00237C62" w:rsidRDefault="00237C62" w:rsidP="00237C62">
      <w:pPr>
        <w:pStyle w:val="Odstavecstyl"/>
        <w:rPr>
          <w:rFonts w:asciiTheme="minorHAnsi" w:hAnsiTheme="minorHAnsi" w:cstheme="minorHAnsi"/>
          <w:b/>
          <w:u w:val="single"/>
        </w:rPr>
      </w:pPr>
      <w:r w:rsidRPr="00237C62">
        <w:rPr>
          <w:rFonts w:asciiTheme="minorHAnsi" w:hAnsiTheme="minorHAnsi" w:cstheme="minorHAnsi"/>
          <w:b/>
          <w:u w:val="single"/>
        </w:rPr>
        <w:t xml:space="preserve">Vzorové silniční výpočty </w:t>
      </w:r>
    </w:p>
    <w:p w14:paraId="42C6D987" w14:textId="77777777" w:rsidR="00237C62" w:rsidRPr="00237C62" w:rsidRDefault="00237C62" w:rsidP="00237C62">
      <w:pPr>
        <w:pStyle w:val="Odstavecstyl"/>
        <w:rPr>
          <w:rFonts w:asciiTheme="minorHAnsi" w:hAnsiTheme="minorHAnsi" w:cstheme="minorHAnsi"/>
          <w:b/>
        </w:rPr>
      </w:pPr>
    </w:p>
    <w:p w14:paraId="6193E2FD" w14:textId="03D053F3" w:rsidR="00237C62" w:rsidRPr="00237C62" w:rsidRDefault="00237C62" w:rsidP="00237C62">
      <w:pPr>
        <w:pStyle w:val="Odstavecstyl"/>
        <w:rPr>
          <w:rFonts w:asciiTheme="minorHAnsi" w:hAnsiTheme="minorHAnsi" w:cstheme="minorHAnsi"/>
          <w:b/>
        </w:rPr>
      </w:pPr>
      <w:r w:rsidRPr="00237C62">
        <w:rPr>
          <w:rFonts w:asciiTheme="minorHAnsi" w:hAnsiTheme="minorHAnsi" w:cstheme="minorHAnsi"/>
          <w:noProof/>
        </w:rPr>
        <w:drawing>
          <wp:inline distT="0" distB="0" distL="0" distR="0" wp14:anchorId="5C03BD82" wp14:editId="44C237B3">
            <wp:extent cx="2294428" cy="230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5"/>
                    <a:stretch/>
                  </pic:blipFill>
                  <pic:spPr bwMode="auto">
                    <a:xfrm>
                      <a:off x="0" y="0"/>
                      <a:ext cx="2299770" cy="231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7E0AD" w14:textId="099210D0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>(1)</w:t>
      </w:r>
      <w:r w:rsidRPr="00237C62">
        <w:rPr>
          <w:rFonts w:asciiTheme="minorHAnsi" w:hAnsiTheme="minorHAnsi" w:cstheme="minorHAnsi"/>
        </w:rPr>
        <w:tab/>
        <w:t>Výška zavěšení osvětlovacího zdroje</w:t>
      </w:r>
      <w:r w:rsidR="002F76CD">
        <w:rPr>
          <w:rFonts w:asciiTheme="minorHAnsi" w:hAnsiTheme="minorHAnsi" w:cstheme="minorHAnsi"/>
        </w:rPr>
        <w:t xml:space="preserve"> (m)</w:t>
      </w:r>
    </w:p>
    <w:p w14:paraId="6EF2FB60" w14:textId="689BB3D2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>(2)</w:t>
      </w:r>
      <w:r w:rsidRPr="00237C62">
        <w:rPr>
          <w:rFonts w:asciiTheme="minorHAnsi" w:hAnsiTheme="minorHAnsi" w:cstheme="minorHAnsi"/>
        </w:rPr>
        <w:tab/>
        <w:t>Převis osvětlovacího zdroje nad vozovkou</w:t>
      </w:r>
      <w:r w:rsidR="002F76CD">
        <w:rPr>
          <w:rFonts w:asciiTheme="minorHAnsi" w:hAnsiTheme="minorHAnsi" w:cstheme="minorHAnsi"/>
        </w:rPr>
        <w:t xml:space="preserve"> (m)</w:t>
      </w:r>
    </w:p>
    <w:p w14:paraId="7AA28A5C" w14:textId="02B6C2CD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>(3)</w:t>
      </w:r>
      <w:r w:rsidRPr="00237C62">
        <w:rPr>
          <w:rFonts w:asciiTheme="minorHAnsi" w:hAnsiTheme="minorHAnsi" w:cstheme="minorHAnsi"/>
        </w:rPr>
        <w:tab/>
        <w:t>Sklon ramene</w:t>
      </w:r>
      <w:r w:rsidR="002F76CD">
        <w:rPr>
          <w:rFonts w:asciiTheme="minorHAnsi" w:hAnsiTheme="minorHAnsi" w:cstheme="minorHAnsi"/>
        </w:rPr>
        <w:t xml:space="preserve"> (°)</w:t>
      </w:r>
    </w:p>
    <w:p w14:paraId="48A2D3CC" w14:textId="3208A9CA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  <w:r w:rsidRPr="00237C62">
        <w:rPr>
          <w:rFonts w:asciiTheme="minorHAnsi" w:hAnsiTheme="minorHAnsi" w:cstheme="minorHAnsi"/>
        </w:rPr>
        <w:t>(4)</w:t>
      </w:r>
      <w:r w:rsidRPr="00237C62">
        <w:rPr>
          <w:rFonts w:asciiTheme="minorHAnsi" w:hAnsiTheme="minorHAnsi" w:cstheme="minorHAnsi"/>
        </w:rPr>
        <w:tab/>
        <w:t>Délka ramene</w:t>
      </w:r>
      <w:r w:rsidR="002F76CD">
        <w:rPr>
          <w:rFonts w:asciiTheme="minorHAnsi" w:hAnsiTheme="minorHAnsi" w:cstheme="minorHAnsi"/>
        </w:rPr>
        <w:t xml:space="preserve"> (m)</w:t>
      </w:r>
    </w:p>
    <w:p w14:paraId="29A41400" w14:textId="77777777" w:rsidR="00237C62" w:rsidRPr="00237C62" w:rsidRDefault="00237C62" w:rsidP="00237C62">
      <w:pPr>
        <w:pStyle w:val="Odstavecstyl"/>
        <w:rPr>
          <w:rFonts w:asciiTheme="minorHAnsi" w:hAnsiTheme="minorHAnsi" w:cstheme="minorHAnsi"/>
        </w:rPr>
      </w:pPr>
    </w:p>
    <w:p w14:paraId="13CB9F24" w14:textId="77777777" w:rsidR="00237C62" w:rsidRPr="00237C62" w:rsidRDefault="00237C62" w:rsidP="00237C62">
      <w:pPr>
        <w:rPr>
          <w:rFonts w:cstheme="minorHAnsi"/>
          <w:b/>
          <w:bCs/>
          <w:sz w:val="20"/>
          <w:szCs w:val="20"/>
        </w:rPr>
      </w:pPr>
      <w:r w:rsidRPr="00237C62">
        <w:rPr>
          <w:rFonts w:cstheme="minorHAnsi"/>
          <w:b/>
          <w:bCs/>
          <w:sz w:val="20"/>
          <w:szCs w:val="20"/>
        </w:rPr>
        <w:t>Tabulka 1: konfigurace vzorových silničních výpočtů.</w:t>
      </w:r>
    </w:p>
    <w:tbl>
      <w:tblPr>
        <w:tblW w:w="50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641"/>
        <w:gridCol w:w="1188"/>
        <w:gridCol w:w="899"/>
        <w:gridCol w:w="1150"/>
        <w:gridCol w:w="820"/>
        <w:gridCol w:w="539"/>
        <w:gridCol w:w="608"/>
        <w:gridCol w:w="505"/>
        <w:gridCol w:w="752"/>
        <w:gridCol w:w="40"/>
      </w:tblGrid>
      <w:tr w:rsidR="00237C62" w:rsidRPr="00237C62" w14:paraId="4C4EE7CB" w14:textId="77777777" w:rsidTr="0060405F">
        <w:trPr>
          <w:trHeight w:val="300"/>
          <w:tblHeader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D530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Č. výpočtu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F935341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Umístění svítidel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9CA8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Počet pruhů komunikace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D423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Třída osvětlení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D56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Šířka komunikace celkem (m)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2849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Rozteč (m)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875DF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Parametry dle obrázku výše</w:t>
            </w:r>
          </w:p>
        </w:tc>
      </w:tr>
      <w:tr w:rsidR="00237C62" w:rsidRPr="00237C62" w14:paraId="03D401E6" w14:textId="77777777" w:rsidTr="0060405F">
        <w:trPr>
          <w:gridAfter w:val="1"/>
          <w:wAfter w:w="22" w:type="pct"/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3349" w14:textId="77777777" w:rsidR="00237C62" w:rsidRPr="00237C62" w:rsidRDefault="00237C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F3782" w14:textId="77777777" w:rsidR="00237C62" w:rsidRPr="00237C62" w:rsidRDefault="00237C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54B5" w14:textId="77777777" w:rsidR="00237C62" w:rsidRPr="00237C62" w:rsidRDefault="00237C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A5D4" w14:textId="77777777" w:rsidR="00237C62" w:rsidRPr="00237C62" w:rsidRDefault="00237C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9C71" w14:textId="77777777" w:rsidR="00237C62" w:rsidRPr="00237C62" w:rsidRDefault="00237C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8093" w14:textId="77777777" w:rsidR="00237C62" w:rsidRPr="00237C62" w:rsidRDefault="00237C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8C54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82EFC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(2)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F436E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A8A2E" w14:textId="77777777" w:rsidR="00237C62" w:rsidRPr="00237C62" w:rsidRDefault="00237C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7C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(4)</w:t>
            </w:r>
          </w:p>
        </w:tc>
      </w:tr>
      <w:tr w:rsidR="00237C62" w:rsidRPr="00F957CB" w14:paraId="5332284A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7957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105ED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D30BC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37BC2" w14:textId="43A73CE4" w:rsidR="00237C62" w:rsidRPr="004614B6" w:rsidRDefault="00461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F84B0" w14:textId="612A7973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22B28" w14:textId="59681ADD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E617D" w14:textId="09DB63AF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EEEF3" w14:textId="52ACED67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1A18B" w14:textId="4F1C5CC9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F0CFD" w14:textId="0E207918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37C62" w:rsidRPr="00F957CB" w14:paraId="7D25A68C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8BAE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B6229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19177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66284" w14:textId="3221D817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E2517" w14:textId="576BAAA5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1B39B" w14:textId="00CD756B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42065" w14:textId="651E4B6E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B896D" w14:textId="0BFA3BAA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3E00F" w14:textId="19CFA8AD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7618A" w14:textId="4E86A600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37C62" w:rsidRPr="00F957CB" w14:paraId="6AFCBF9A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34AA3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319C4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06A25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4BD2B" w14:textId="423A2A6E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A0F82" w14:textId="4C7AA6EF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1D5DB" w14:textId="2AAAA3BF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5EE0E" w14:textId="0D5BD4F8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A4B1A" w14:textId="58FBC094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0113D" w14:textId="26BB5B2D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24779" w14:textId="7CA5A310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37C62" w:rsidRPr="00F957CB" w14:paraId="43943608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F5E31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D89B1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29F0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9F79" w14:textId="7C0281A5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C324" w14:textId="0734A456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225B" w14:textId="1FBC368E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D494" w14:textId="1285A4E7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BEB3C" w14:textId="151FE52A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42DA" w14:textId="03A738F4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D67CE" w14:textId="4140A110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37C62" w:rsidRPr="00F957CB" w14:paraId="1CA51516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9B5D6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19FEB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0D7A9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E2757" w14:textId="435A9336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8103F" w14:textId="04CE6593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3F9FB" w14:textId="1D93C49B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9FBC1" w14:textId="48EA315F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C18B2" w14:textId="2BC781F3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C28A0" w14:textId="1FD116B4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F524D" w14:textId="3360BF8C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37C62" w:rsidRPr="00237C62" w14:paraId="17E68FB8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C0EA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9544" w14:textId="77777777" w:rsidR="00237C62" w:rsidRPr="004614B6" w:rsidRDefault="00237C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3DC0" w14:textId="26CD76F9" w:rsidR="00237C62" w:rsidRPr="004614B6" w:rsidRDefault="00461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7C5BF" w14:textId="406CC500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9DF71" w14:textId="7A794EB4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DCE97" w14:textId="4F7F2278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B36D9" w14:textId="5B5A2A1D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3DAF5" w14:textId="2D0E702E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39E5B" w14:textId="1DF25FCB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EC91F" w14:textId="7651A25E" w:rsidR="00237C62" w:rsidRPr="004614B6" w:rsidRDefault="002F76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0405F" w:rsidRPr="00F957CB" w14:paraId="174EA435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A9500" w14:textId="278C4534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30196" w14:textId="77777777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9023" w14:textId="77777777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674D8" w14:textId="02C4D46A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D4C0C" w14:textId="54158F1E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B506F" w14:textId="269B9C98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997A0" w14:textId="3AD3286B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C524" w14:textId="51C2695C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9E533" w14:textId="2A50DC1E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A9764" w14:textId="7B1941BD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0405F" w:rsidRPr="00237C62" w14:paraId="5A18BBAD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E46AB" w14:textId="4B4795F6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9D78D" w14:textId="77777777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F165D" w14:textId="1DA7382F" w:rsidR="0060405F" w:rsidRPr="004614B6" w:rsidRDefault="004614B6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9B4F8" w14:textId="636D82CA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05700" w14:textId="7B3F72EB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66ABA" w14:textId="4E4F9033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91F3C" w14:textId="5D5BD722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02D71" w14:textId="27590EB1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C306E" w14:textId="1E955FE3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AA06A" w14:textId="638C5B28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0405F" w:rsidRPr="00F957CB" w14:paraId="0CA74514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4CC65" w14:textId="1450CF71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1EB6D" w14:textId="77777777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178F0" w14:textId="77777777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94C7A" w14:textId="6F879E14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7D47E" w14:textId="40C8617F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F961A" w14:textId="5E0FA3A1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E435A" w14:textId="37695A46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C0B7" w14:textId="307A2483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01169" w14:textId="58D78DDB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8B652" w14:textId="6069E359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60405F" w:rsidRPr="00237C62" w14:paraId="3C430F5F" w14:textId="77777777" w:rsidTr="004614B6">
        <w:trPr>
          <w:gridAfter w:val="1"/>
          <w:wAfter w:w="22" w:type="pct"/>
          <w:trHeight w:val="30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1C937" w14:textId="6B4A0A47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0F842" w14:textId="77777777" w:rsidR="0060405F" w:rsidRPr="004614B6" w:rsidRDefault="0060405F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Jednostranně dole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B512" w14:textId="660D9AE8" w:rsidR="0060405F" w:rsidRPr="004614B6" w:rsidRDefault="004614B6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4614B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F5D1E" w14:textId="14D8647E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3F8D3" w14:textId="4C93FEC1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DA7F1" w14:textId="10DBA6BF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0BAF8" w14:textId="5598B40B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17D95" w14:textId="55BAE767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B8D88" w14:textId="4D9FEC96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14A10" w14:textId="0B4415BB" w:rsidR="0060405F" w:rsidRPr="004614B6" w:rsidRDefault="002F76CD" w:rsidP="00D300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55E4D2A5" w14:textId="52E650F5" w:rsidR="00237C62" w:rsidRDefault="00237C62" w:rsidP="00237C62">
      <w:pPr>
        <w:rPr>
          <w:rFonts w:cstheme="minorHAnsi"/>
        </w:rPr>
      </w:pPr>
    </w:p>
    <w:p w14:paraId="6EA908C1" w14:textId="77777777" w:rsidR="00B67076" w:rsidRPr="004F0320" w:rsidRDefault="00B67076" w:rsidP="00B67076">
      <w:pPr>
        <w:jc w:val="both"/>
        <w:rPr>
          <w:rFonts w:cstheme="minorHAnsi"/>
          <w:b/>
          <w:u w:val="single"/>
        </w:rPr>
      </w:pPr>
      <w:r w:rsidRPr="004F0320">
        <w:rPr>
          <w:rFonts w:cstheme="minorHAnsi"/>
          <w:b/>
          <w:u w:val="single"/>
        </w:rPr>
        <w:lastRenderedPageBreak/>
        <w:t>Vzorový výpočet na rušivé světlo dle ČSN EN 12 464 – M5</w:t>
      </w:r>
    </w:p>
    <w:p w14:paraId="65C1D1C4" w14:textId="4499556E" w:rsidR="00B67076" w:rsidRPr="002C7ADD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Tento výpočet bude proveden dle výpočtu č. </w:t>
      </w:r>
      <w:r w:rsidR="00BD456E">
        <w:rPr>
          <w:rFonts w:eastAsia="Times New Roman" w:cstheme="minorHAnsi"/>
          <w:bCs/>
          <w:sz w:val="20"/>
          <w:szCs w:val="20"/>
          <w:lang w:eastAsia="cs-CZ"/>
        </w:rPr>
        <w:t>1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. To znamená, že svítidlo a náklon svítidla, které účastníkovi vyjde ze vzorového výpočtu č. </w:t>
      </w:r>
      <w:r w:rsidR="00BD456E">
        <w:rPr>
          <w:rFonts w:eastAsia="Times New Roman" w:cstheme="minorHAnsi"/>
          <w:bCs/>
          <w:sz w:val="20"/>
          <w:szCs w:val="20"/>
          <w:lang w:eastAsia="cs-CZ"/>
        </w:rPr>
        <w:t>1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>, bude použito i ve výpočtu rušivého světla.</w:t>
      </w:r>
    </w:p>
    <w:p w14:paraId="57993D92" w14:textId="5D29267C" w:rsidR="00B67076" w:rsidRPr="002C7ADD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Rozměry komunikace budou stejné 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34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 m (rozteč) x 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7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 m (šířka), výpočtový rastr bude 6 x 1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2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 bodů. Svítidlo bude umístěno ve výšce 8 m a ve vzdálenosti 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1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 m 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od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 osvětlované komunikac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e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. Výpočtové plochy pro vertikální osvětlenosti budou umístěny dle výkresu níže. Jedna výpočtová plocha bude umístěna ve vzdálenosti 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1,5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 m od osvětlované komunikace a druhá výpočtová plocha ve vzdálenosti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7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m od osvětlované komunikace. Měřící rastr u obou výpočtových ploch bude 1 x 1 m (vzdálenosti X a Y). Vertikální výpočtové plochy „simulují“ umístění obytných budov v obci. Rozměry vertikálních výpočtových ploch budou </w:t>
      </w:r>
      <w:r w:rsidR="004F0320">
        <w:rPr>
          <w:rFonts w:eastAsia="Times New Roman" w:cstheme="minorHAnsi"/>
          <w:bCs/>
          <w:sz w:val="20"/>
          <w:szCs w:val="20"/>
          <w:lang w:eastAsia="cs-CZ"/>
        </w:rPr>
        <w:t>34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 m x 2 m (délka x výška) a její začátek bude 2 m nad úrovní komunikace.</w:t>
      </w:r>
    </w:p>
    <w:p w14:paraId="2CDBDD10" w14:textId="77777777" w:rsidR="00B67076" w:rsidRPr="002C7ADD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09BC6C2F" w14:textId="77777777" w:rsidR="00B67076" w:rsidRPr="002C7ADD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2C7ADD">
        <w:rPr>
          <w:rFonts w:eastAsia="Times New Roman" w:cstheme="minorHAnsi"/>
          <w:b/>
          <w:sz w:val="20"/>
          <w:szCs w:val="20"/>
          <w:lang w:eastAsia="cs-CZ"/>
        </w:rPr>
        <w:t>Maximální intenzita svislé osvětlenosti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 xml:space="preserve"> nesmí překročit hodnotu </w:t>
      </w:r>
      <w:r>
        <w:rPr>
          <w:rFonts w:eastAsia="Times New Roman" w:cstheme="minorHAnsi"/>
          <w:b/>
          <w:sz w:val="20"/>
          <w:szCs w:val="20"/>
          <w:lang w:eastAsia="cs-CZ"/>
        </w:rPr>
        <w:t>5</w:t>
      </w:r>
      <w:r w:rsidRPr="002C7ADD">
        <w:rPr>
          <w:rFonts w:eastAsia="Times New Roman" w:cstheme="minorHAnsi"/>
          <w:b/>
          <w:sz w:val="20"/>
          <w:szCs w:val="20"/>
          <w:lang w:eastAsia="cs-CZ"/>
        </w:rPr>
        <w:t xml:space="preserve"> lx</w:t>
      </w:r>
      <w:r w:rsidRPr="002C7ADD">
        <w:rPr>
          <w:rFonts w:eastAsia="Times New Roman" w:cstheme="minorHAnsi"/>
          <w:bCs/>
          <w:sz w:val="20"/>
          <w:szCs w:val="20"/>
          <w:lang w:eastAsia="cs-CZ"/>
        </w:rPr>
        <w:t>, a to bez stmívání při 100% intenzitě.</w:t>
      </w:r>
    </w:p>
    <w:p w14:paraId="1C8EF17C" w14:textId="77777777" w:rsidR="00B67076" w:rsidRPr="00024C66" w:rsidRDefault="00B67076" w:rsidP="00B67076">
      <w:pPr>
        <w:jc w:val="both"/>
        <w:rPr>
          <w:rFonts w:eastAsia="Times New Roman" w:cstheme="minorHAnsi"/>
          <w:bCs/>
          <w:sz w:val="20"/>
          <w:szCs w:val="20"/>
          <w:highlight w:val="yellow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1"/>
        <w:gridCol w:w="5831"/>
      </w:tblGrid>
      <w:tr w:rsidR="00B67076" w:rsidRPr="002C7ADD" w14:paraId="27DB5FD2" w14:textId="77777777" w:rsidTr="00D30013">
        <w:tc>
          <w:tcPr>
            <w:tcW w:w="3256" w:type="dxa"/>
          </w:tcPr>
          <w:p w14:paraId="32D2F48B" w14:textId="77777777" w:rsidR="00B67076" w:rsidRPr="002C7ADD" w:rsidRDefault="00B67076" w:rsidP="00D30013">
            <w:pPr>
              <w:jc w:val="center"/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</w:pPr>
            <w:r w:rsidRPr="002C7ADD"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Půdorys</w:t>
            </w:r>
          </w:p>
        </w:tc>
        <w:tc>
          <w:tcPr>
            <w:tcW w:w="5806" w:type="dxa"/>
          </w:tcPr>
          <w:p w14:paraId="61FC51CF" w14:textId="77777777" w:rsidR="00B67076" w:rsidRPr="002C7ADD" w:rsidRDefault="00B67076" w:rsidP="00D30013">
            <w:pPr>
              <w:jc w:val="center"/>
            </w:pPr>
            <w:r w:rsidRPr="002C7ADD">
              <w:t>Čelní pohled</w:t>
            </w:r>
          </w:p>
        </w:tc>
      </w:tr>
      <w:tr w:rsidR="00B67076" w:rsidRPr="00024C66" w14:paraId="60921A6F" w14:textId="77777777" w:rsidTr="00D30013">
        <w:tc>
          <w:tcPr>
            <w:tcW w:w="3256" w:type="dxa"/>
          </w:tcPr>
          <w:p w14:paraId="25F7CB2A" w14:textId="77777777" w:rsidR="00B67076" w:rsidRPr="00024C66" w:rsidRDefault="00B67076" w:rsidP="00D30013">
            <w:pPr>
              <w:jc w:val="both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</w:p>
          <w:p w14:paraId="2E39D5DD" w14:textId="496F2784" w:rsidR="00B67076" w:rsidRPr="00024C66" w:rsidRDefault="00B67076" w:rsidP="00D30013">
            <w:pPr>
              <w:jc w:val="both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</w:p>
          <w:p w14:paraId="7BCE3D53" w14:textId="396C2CCC" w:rsidR="00B67076" w:rsidRPr="00024C66" w:rsidRDefault="004F0320" w:rsidP="00D30013">
            <w:pPr>
              <w:jc w:val="both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  <w:r>
              <w:object w:dxaOrig="7330" w:dyaOrig="12730" w14:anchorId="5B587D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0.85pt;height:261.1pt" o:ole="">
                  <v:imagedata r:id="rId5" o:title=""/>
                </v:shape>
                <o:OLEObject Type="Embed" ProgID="PBrush" ShapeID="_x0000_i1033" DrawAspect="Content" ObjectID="_1718871586" r:id="rId6"/>
              </w:object>
            </w:r>
          </w:p>
        </w:tc>
        <w:tc>
          <w:tcPr>
            <w:tcW w:w="5806" w:type="dxa"/>
          </w:tcPr>
          <w:p w14:paraId="4FB1518B" w14:textId="6997F83C" w:rsidR="00B67076" w:rsidRPr="00024C66" w:rsidRDefault="00E66235" w:rsidP="00D30013">
            <w:pPr>
              <w:jc w:val="center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  <w:r>
              <w:object w:dxaOrig="10080" w:dyaOrig="6500" w14:anchorId="197FCE9C">
                <v:shape id="_x0000_i1061" type="#_x0000_t75" style="width:280.7pt;height:139.45pt" o:ole="">
                  <v:imagedata r:id="rId7" o:title="" croptop="17584f" cropleft="3224f"/>
                </v:shape>
                <o:OLEObject Type="Embed" ProgID="PBrush" ShapeID="_x0000_i1061" DrawAspect="Content" ObjectID="_1718871587" r:id="rId8"/>
              </w:object>
            </w:r>
          </w:p>
        </w:tc>
      </w:tr>
    </w:tbl>
    <w:p w14:paraId="600D0577" w14:textId="77777777" w:rsidR="00B67076" w:rsidRPr="00024C66" w:rsidRDefault="00B67076" w:rsidP="00B67076">
      <w:pPr>
        <w:jc w:val="both"/>
        <w:rPr>
          <w:rFonts w:eastAsia="Times New Roman" w:cstheme="minorHAnsi"/>
          <w:bCs/>
          <w:sz w:val="20"/>
          <w:szCs w:val="20"/>
          <w:highlight w:val="yellow"/>
          <w:lang w:eastAsia="cs-CZ"/>
        </w:rPr>
      </w:pPr>
    </w:p>
    <w:p w14:paraId="6E978AB5" w14:textId="77777777" w:rsidR="00B67076" w:rsidRPr="00024C66" w:rsidRDefault="00B67076" w:rsidP="00B67076">
      <w:pPr>
        <w:rPr>
          <w:rFonts w:cstheme="minorHAnsi"/>
          <w:b/>
          <w:highlight w:val="yellow"/>
          <w:u w:val="single"/>
        </w:rPr>
      </w:pPr>
      <w:r w:rsidRPr="00024C66">
        <w:rPr>
          <w:rFonts w:cstheme="minorHAnsi"/>
          <w:b/>
          <w:highlight w:val="yellow"/>
          <w:u w:val="single"/>
        </w:rPr>
        <w:br w:type="page"/>
      </w:r>
    </w:p>
    <w:p w14:paraId="46B131D9" w14:textId="77777777" w:rsidR="00B67076" w:rsidRPr="001539D0" w:rsidRDefault="00B67076" w:rsidP="00B67076">
      <w:pPr>
        <w:jc w:val="both"/>
        <w:rPr>
          <w:rFonts w:cstheme="minorHAnsi"/>
          <w:b/>
          <w:u w:val="single"/>
        </w:rPr>
      </w:pPr>
      <w:r w:rsidRPr="001539D0">
        <w:rPr>
          <w:rFonts w:cstheme="minorHAnsi"/>
          <w:b/>
          <w:u w:val="single"/>
        </w:rPr>
        <w:lastRenderedPageBreak/>
        <w:t>Vzorový výpočet na rušivé světlo dle ČSN EN 12 464 – M6</w:t>
      </w:r>
    </w:p>
    <w:p w14:paraId="16D2217C" w14:textId="7487896B" w:rsidR="00B67076" w:rsidRPr="009661DD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9661DD">
        <w:rPr>
          <w:rFonts w:eastAsia="Times New Roman" w:cstheme="minorHAnsi"/>
          <w:bCs/>
          <w:sz w:val="20"/>
          <w:szCs w:val="20"/>
          <w:lang w:eastAsia="cs-CZ"/>
        </w:rPr>
        <w:t>Tento výpočet bude proveden dle výpočtu č.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>3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>. To znamená, že svítidlo a náklon svítidla, které účastníkovi vyjde ze vzorového výpočtu č.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>3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>, bude použit</w:t>
      </w:r>
      <w:r>
        <w:rPr>
          <w:rFonts w:eastAsia="Times New Roman" w:cstheme="minorHAnsi"/>
          <w:bCs/>
          <w:sz w:val="20"/>
          <w:szCs w:val="20"/>
          <w:lang w:eastAsia="cs-CZ"/>
        </w:rPr>
        <w:t>o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i ve výpočtu rušivého světla.</w:t>
      </w:r>
    </w:p>
    <w:p w14:paraId="165B48BF" w14:textId="609F5FC0" w:rsidR="00B67076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Rozměry komunikace budou stejné 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>38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m (rozteč) x 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>8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m (šířka), výpočtový rastr bude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 6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x 1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>3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bodů. Svítidlo bude umístěno ve výšce </w:t>
      </w:r>
      <w:r>
        <w:rPr>
          <w:rFonts w:eastAsia="Times New Roman" w:cstheme="minorHAnsi"/>
          <w:bCs/>
          <w:sz w:val="20"/>
          <w:szCs w:val="20"/>
          <w:lang w:eastAsia="cs-CZ"/>
        </w:rPr>
        <w:t>7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>,5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m a ve vzdálenosti 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>1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m od osvětlované komunikace. Výpočtové plochy pro vertikální osvětlenosti budou umístěny dle výkresu níže. Jedna výpočtová plocha bude umístěna ve vzdálenosti 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 xml:space="preserve">3 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m od osvětlované komunikace a druhá výpočtová plocha ve vzdálenosti </w:t>
      </w:r>
      <w:r>
        <w:rPr>
          <w:rFonts w:eastAsia="Times New Roman" w:cstheme="minorHAnsi"/>
          <w:bCs/>
          <w:sz w:val="20"/>
          <w:szCs w:val="20"/>
          <w:lang w:eastAsia="cs-CZ"/>
        </w:rPr>
        <w:t>6,5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m od osvětlované komunikace. Měřící rastr u obou výpočtových ploch bude 1 x 1 m (vzdálenosti X a Y). Vertikální výpočtové plochy „simulují“ umístění obytných budov v obci. Rozměry vertikálních výpočtových ploch budou </w:t>
      </w:r>
      <w:r w:rsidR="00E66235">
        <w:rPr>
          <w:rFonts w:eastAsia="Times New Roman" w:cstheme="minorHAnsi"/>
          <w:bCs/>
          <w:sz w:val="20"/>
          <w:szCs w:val="20"/>
          <w:lang w:eastAsia="cs-CZ"/>
        </w:rPr>
        <w:t>38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m x 2 m (délka x výška) a její začátek bude 2 m nad úrovní komunikace.</w:t>
      </w:r>
    </w:p>
    <w:p w14:paraId="470291CA" w14:textId="77777777" w:rsidR="00B67076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489FDA62" w14:textId="77777777" w:rsidR="00B67076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0A474D">
        <w:rPr>
          <w:rFonts w:eastAsia="Times New Roman" w:cstheme="minorHAnsi"/>
          <w:bCs/>
          <w:sz w:val="20"/>
          <w:szCs w:val="20"/>
          <w:lang w:eastAsia="cs-CZ"/>
        </w:rPr>
        <w:t>Maximální intenzita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 svislé osvětlenosti nesmí překročit hodnotu </w:t>
      </w:r>
      <w:r>
        <w:rPr>
          <w:rFonts w:eastAsia="Times New Roman" w:cstheme="minorHAnsi"/>
          <w:b/>
          <w:sz w:val="20"/>
          <w:szCs w:val="20"/>
          <w:lang w:eastAsia="cs-CZ"/>
        </w:rPr>
        <w:t>3</w:t>
      </w:r>
      <w:r w:rsidRPr="000A474D">
        <w:rPr>
          <w:rFonts w:eastAsia="Times New Roman" w:cstheme="minorHAnsi"/>
          <w:b/>
          <w:sz w:val="20"/>
          <w:szCs w:val="20"/>
          <w:lang w:eastAsia="cs-CZ"/>
        </w:rPr>
        <w:t xml:space="preserve"> lx</w:t>
      </w:r>
      <w:r>
        <w:rPr>
          <w:rFonts w:eastAsia="Times New Roman" w:cstheme="minorHAnsi"/>
          <w:bCs/>
          <w:sz w:val="20"/>
          <w:szCs w:val="20"/>
          <w:lang w:eastAsia="cs-CZ"/>
        </w:rPr>
        <w:t>, a to bez stmívání při 100% intenzitě.</w:t>
      </w:r>
    </w:p>
    <w:p w14:paraId="3789BFF0" w14:textId="77777777" w:rsidR="00B67076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67076" w14:paraId="1653F8FA" w14:textId="77777777" w:rsidTr="00D30013">
        <w:tc>
          <w:tcPr>
            <w:tcW w:w="3397" w:type="dxa"/>
          </w:tcPr>
          <w:p w14:paraId="3A9527F7" w14:textId="77777777" w:rsidR="00B67076" w:rsidRDefault="00B67076" w:rsidP="00D30013">
            <w:pPr>
              <w:jc w:val="center"/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Půdorys</w:t>
            </w:r>
          </w:p>
        </w:tc>
        <w:tc>
          <w:tcPr>
            <w:tcW w:w="5665" w:type="dxa"/>
          </w:tcPr>
          <w:p w14:paraId="072AF70A" w14:textId="77777777" w:rsidR="00B67076" w:rsidRDefault="00B67076" w:rsidP="00D30013">
            <w:pPr>
              <w:jc w:val="center"/>
            </w:pPr>
            <w:r>
              <w:t>Čelní pohled</w:t>
            </w:r>
          </w:p>
        </w:tc>
      </w:tr>
      <w:tr w:rsidR="00B67076" w14:paraId="5240F423" w14:textId="77777777" w:rsidTr="00D30013">
        <w:tc>
          <w:tcPr>
            <w:tcW w:w="3397" w:type="dxa"/>
          </w:tcPr>
          <w:p w14:paraId="2E834718" w14:textId="77777777" w:rsidR="00B67076" w:rsidRDefault="00B67076" w:rsidP="00D3001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14:paraId="7D4B2700" w14:textId="479FD6F5" w:rsidR="00B67076" w:rsidRDefault="001539D0" w:rsidP="00D3001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object w:dxaOrig="9240" w:dyaOrig="14290" w14:anchorId="1CE650B0">
                <v:shape id="_x0000_i1087" type="#_x0000_t75" style="width:158.15pt;height:294.4pt" o:ole="">
                  <v:imagedata r:id="rId9" o:title="" cropleft="11006f"/>
                </v:shape>
                <o:OLEObject Type="Embed" ProgID="PBrush" ShapeID="_x0000_i1087" DrawAspect="Content" ObjectID="_1718871588" r:id="rId10"/>
              </w:object>
            </w:r>
          </w:p>
        </w:tc>
        <w:tc>
          <w:tcPr>
            <w:tcW w:w="5665" w:type="dxa"/>
          </w:tcPr>
          <w:p w14:paraId="47242F8C" w14:textId="1F622255" w:rsidR="00B67076" w:rsidRDefault="001539D0" w:rsidP="00D3001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object w:dxaOrig="10080" w:dyaOrig="6500" w14:anchorId="496BFDFD">
                <v:shape id="_x0000_i1111" type="#_x0000_t75" style="width:231.95pt;height:149.45pt" o:ole="">
                  <v:imagedata r:id="rId11" o:title=""/>
                </v:shape>
                <o:OLEObject Type="Embed" ProgID="PBrush" ShapeID="_x0000_i1111" DrawAspect="Content" ObjectID="_1718871589" r:id="rId12"/>
              </w:object>
            </w:r>
          </w:p>
        </w:tc>
      </w:tr>
    </w:tbl>
    <w:p w14:paraId="20E2BA3C" w14:textId="77777777" w:rsidR="00B67076" w:rsidRDefault="00B67076" w:rsidP="00B67076">
      <w:pPr>
        <w:rPr>
          <w:rFonts w:cstheme="minorHAnsi"/>
        </w:rPr>
      </w:pPr>
    </w:p>
    <w:p w14:paraId="350F4945" w14:textId="77777777" w:rsidR="00B67076" w:rsidRDefault="00B67076" w:rsidP="00B67076">
      <w:pPr>
        <w:rPr>
          <w:rFonts w:cstheme="minorHAnsi"/>
        </w:rPr>
      </w:pPr>
      <w:r>
        <w:rPr>
          <w:rFonts w:cstheme="minorHAnsi"/>
        </w:rPr>
        <w:br w:type="page"/>
      </w:r>
    </w:p>
    <w:p w14:paraId="267A9BC2" w14:textId="77777777" w:rsidR="00B67076" w:rsidRPr="00A83109" w:rsidRDefault="00B67076" w:rsidP="00B67076">
      <w:pPr>
        <w:jc w:val="both"/>
        <w:rPr>
          <w:rFonts w:cstheme="minorHAnsi"/>
          <w:b/>
          <w:u w:val="single"/>
        </w:rPr>
      </w:pPr>
      <w:r w:rsidRPr="00A83109">
        <w:rPr>
          <w:rFonts w:cstheme="minorHAnsi"/>
          <w:b/>
          <w:u w:val="single"/>
        </w:rPr>
        <w:lastRenderedPageBreak/>
        <w:t>Vzorový výpočet na rušivé světlo dle ČSN EN 12 464 – P4</w:t>
      </w:r>
    </w:p>
    <w:p w14:paraId="48B62416" w14:textId="1096F7A0" w:rsidR="00B67076" w:rsidRPr="009661DD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9661DD">
        <w:rPr>
          <w:rFonts w:eastAsia="Times New Roman" w:cstheme="minorHAnsi"/>
          <w:bCs/>
          <w:sz w:val="20"/>
          <w:szCs w:val="20"/>
          <w:lang w:eastAsia="cs-CZ"/>
        </w:rPr>
        <w:t>Tento výpočet bude proveden dle výpočtu č.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8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>. To znamená, že svítidlo a náklon svítidla, které účastníkovi vyjde ze vzorového výpočtu č.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8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>, bude použit</w:t>
      </w:r>
      <w:r>
        <w:rPr>
          <w:rFonts w:eastAsia="Times New Roman" w:cstheme="minorHAnsi"/>
          <w:bCs/>
          <w:sz w:val="20"/>
          <w:szCs w:val="20"/>
          <w:lang w:eastAsia="cs-CZ"/>
        </w:rPr>
        <w:t>o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i ve výpočtu rušivého světla.</w:t>
      </w:r>
    </w:p>
    <w:p w14:paraId="0E934C31" w14:textId="58BEE24F" w:rsidR="00B67076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Rozměry komunikace budou stejné 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30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m (rozteč) x 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6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m (šířka), výpočtový rastr bude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 6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x 1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0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bodů. Svítidlo bude umístěno ve výšce 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5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m a ve vzdálenosti 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0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m od osvětlované komunikace. Výpočtové plochy pro vertikální osvětlenosti budou umístěny dle výkresu níže. Jedna výpočtová plocha bude umístěna ve vzdálenosti 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0,5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m od osvětlované komunikace a druhá výpočtová plocha ve vzdálenosti 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5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,5 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m od osvětlované komunikace. Měřící rastr u obou výpočtových ploch bude 1 x 1 m (vzdálenosti X a Y). Vertikální výpočtové plochy „simulují“ umístění obytných budov v obci. Rozměry vertikálních výpočtových ploch budou </w:t>
      </w:r>
      <w:r w:rsidR="00323372">
        <w:rPr>
          <w:rFonts w:eastAsia="Times New Roman" w:cstheme="minorHAnsi"/>
          <w:bCs/>
          <w:sz w:val="20"/>
          <w:szCs w:val="20"/>
          <w:lang w:eastAsia="cs-CZ"/>
        </w:rPr>
        <w:t>30</w:t>
      </w:r>
      <w:r w:rsidRPr="009661DD">
        <w:rPr>
          <w:rFonts w:eastAsia="Times New Roman" w:cstheme="minorHAnsi"/>
          <w:bCs/>
          <w:sz w:val="20"/>
          <w:szCs w:val="20"/>
          <w:lang w:eastAsia="cs-CZ"/>
        </w:rPr>
        <w:t xml:space="preserve"> m x 2 m (délka x výška) a její začátek bude 2 m nad úrovní komunikace.</w:t>
      </w:r>
    </w:p>
    <w:p w14:paraId="43DEB25E" w14:textId="77777777" w:rsidR="00B67076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516D8D53" w14:textId="77777777" w:rsidR="00B67076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0A474D">
        <w:rPr>
          <w:rFonts w:eastAsia="Times New Roman" w:cstheme="minorHAnsi"/>
          <w:bCs/>
          <w:sz w:val="20"/>
          <w:szCs w:val="20"/>
          <w:lang w:eastAsia="cs-CZ"/>
        </w:rPr>
        <w:t>Maximální intenzita</w:t>
      </w:r>
      <w:r>
        <w:rPr>
          <w:rFonts w:eastAsia="Times New Roman" w:cstheme="minorHAnsi"/>
          <w:bCs/>
          <w:sz w:val="20"/>
          <w:szCs w:val="20"/>
          <w:lang w:eastAsia="cs-CZ"/>
        </w:rPr>
        <w:t xml:space="preserve"> svislé osvětlenosti nesmí překročit hodnotu </w:t>
      </w:r>
      <w:r w:rsidRPr="000A474D">
        <w:rPr>
          <w:rFonts w:eastAsia="Times New Roman" w:cstheme="minorHAnsi"/>
          <w:b/>
          <w:sz w:val="20"/>
          <w:szCs w:val="20"/>
          <w:lang w:eastAsia="cs-CZ"/>
        </w:rPr>
        <w:t>2 lx</w:t>
      </w:r>
      <w:r>
        <w:rPr>
          <w:rFonts w:eastAsia="Times New Roman" w:cstheme="minorHAnsi"/>
          <w:bCs/>
          <w:sz w:val="20"/>
          <w:szCs w:val="20"/>
          <w:lang w:eastAsia="cs-CZ"/>
        </w:rPr>
        <w:t>, a to bez stmívání při 100% intenzitě.</w:t>
      </w:r>
    </w:p>
    <w:p w14:paraId="72D3866F" w14:textId="77777777" w:rsidR="00B67076" w:rsidRDefault="00B67076" w:rsidP="00B67076">
      <w:pPr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37"/>
        <w:gridCol w:w="5625"/>
      </w:tblGrid>
      <w:tr w:rsidR="00B67076" w14:paraId="49B5A3E3" w14:textId="77777777" w:rsidTr="00D30013">
        <w:tc>
          <w:tcPr>
            <w:tcW w:w="3397" w:type="dxa"/>
          </w:tcPr>
          <w:p w14:paraId="37D955FF" w14:textId="77777777" w:rsidR="00B67076" w:rsidRDefault="00B67076" w:rsidP="00D30013">
            <w:pPr>
              <w:jc w:val="center"/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Půdorys</w:t>
            </w:r>
          </w:p>
        </w:tc>
        <w:tc>
          <w:tcPr>
            <w:tcW w:w="5665" w:type="dxa"/>
          </w:tcPr>
          <w:p w14:paraId="27C4F347" w14:textId="77777777" w:rsidR="00B67076" w:rsidRDefault="00B67076" w:rsidP="00D30013">
            <w:pPr>
              <w:jc w:val="center"/>
            </w:pPr>
            <w:r>
              <w:t>Čelní pohled</w:t>
            </w:r>
          </w:p>
        </w:tc>
      </w:tr>
      <w:tr w:rsidR="00B67076" w14:paraId="348760B5" w14:textId="77777777" w:rsidTr="00D30013">
        <w:tc>
          <w:tcPr>
            <w:tcW w:w="3397" w:type="dxa"/>
          </w:tcPr>
          <w:p w14:paraId="585D250A" w14:textId="77777777" w:rsidR="00B67076" w:rsidRDefault="00B67076" w:rsidP="00D3001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14:paraId="0862C7DA" w14:textId="44013BA9" w:rsidR="00B67076" w:rsidRDefault="00323372" w:rsidP="00D3001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object w:dxaOrig="6280" w:dyaOrig="14140" w14:anchorId="1FF963BB">
                <v:shape id="_x0000_i1129" type="#_x0000_t75" style="width:163.15pt;height:366.85pt" o:ole="">
                  <v:imagedata r:id="rId13" o:title=""/>
                </v:shape>
                <o:OLEObject Type="Embed" ProgID="PBrush" ShapeID="_x0000_i1129" DrawAspect="Content" ObjectID="_1718871590" r:id="rId14"/>
              </w:object>
            </w:r>
          </w:p>
        </w:tc>
        <w:tc>
          <w:tcPr>
            <w:tcW w:w="5665" w:type="dxa"/>
          </w:tcPr>
          <w:p w14:paraId="5099BA28" w14:textId="6EC20383" w:rsidR="00B67076" w:rsidRDefault="00323372" w:rsidP="00D30013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>
              <w:object w:dxaOrig="10080" w:dyaOrig="6500" w14:anchorId="00567BE4">
                <v:shape id="_x0000_i1138" type="#_x0000_t75" style="width:273.85pt;height:176.35pt" o:ole="">
                  <v:imagedata r:id="rId15" o:title=""/>
                </v:shape>
                <o:OLEObject Type="Embed" ProgID="PBrush" ShapeID="_x0000_i1138" DrawAspect="Content" ObjectID="_1718871591" r:id="rId16"/>
              </w:object>
            </w:r>
          </w:p>
        </w:tc>
      </w:tr>
    </w:tbl>
    <w:p w14:paraId="68BCBBAA" w14:textId="77777777" w:rsidR="00C93FD3" w:rsidRPr="00237C62" w:rsidRDefault="00C93FD3" w:rsidP="00237C62">
      <w:pPr>
        <w:rPr>
          <w:rFonts w:cstheme="minorHAnsi"/>
        </w:rPr>
      </w:pPr>
    </w:p>
    <w:sectPr w:rsidR="00C93FD3" w:rsidRPr="002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BB"/>
    <w:rsid w:val="00052053"/>
    <w:rsid w:val="001539D0"/>
    <w:rsid w:val="00237C62"/>
    <w:rsid w:val="002F76CD"/>
    <w:rsid w:val="00323372"/>
    <w:rsid w:val="004614B6"/>
    <w:rsid w:val="004F0320"/>
    <w:rsid w:val="0060405F"/>
    <w:rsid w:val="00A83109"/>
    <w:rsid w:val="00B67076"/>
    <w:rsid w:val="00BD456E"/>
    <w:rsid w:val="00C93FD3"/>
    <w:rsid w:val="00E549BB"/>
    <w:rsid w:val="00E66235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D52E"/>
  <w15:chartTrackingRefBased/>
  <w15:docId w15:val="{D2665301-A9CF-47D2-9E00-19FCBD8D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7C62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</w:rPr>
  </w:style>
  <w:style w:type="character" w:customStyle="1" w:styleId="OdstavecstylChar">
    <w:name w:val="Odstavec  [styl] Char"/>
    <w:basedOn w:val="Standardnpsmoodstavce"/>
    <w:link w:val="Odstavecstyl"/>
    <w:locked/>
    <w:rsid w:val="00237C62"/>
    <w:rPr>
      <w:rFonts w:ascii="Lucida Console" w:eastAsia="Times New Roman" w:hAnsi="Lucida Console" w:cs="Courier New"/>
      <w:sz w:val="20"/>
      <w:szCs w:val="20"/>
      <w:lang w:eastAsia="cs-CZ"/>
    </w:rPr>
  </w:style>
  <w:style w:type="paragraph" w:customStyle="1" w:styleId="Odstavecstyl">
    <w:name w:val="Odstavec  [styl]"/>
    <w:basedOn w:val="Normln"/>
    <w:link w:val="OdstavecstylChar"/>
    <w:qFormat/>
    <w:rsid w:val="0023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Lucida Console" w:eastAsia="Times New Roman" w:hAnsi="Lucida Console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Kladiva</dc:creator>
  <cp:keywords/>
  <dc:description/>
  <cp:lastModifiedBy>Jakub Kladiva</cp:lastModifiedBy>
  <cp:revision>10</cp:revision>
  <dcterms:created xsi:type="dcterms:W3CDTF">2022-06-21T11:41:00Z</dcterms:created>
  <dcterms:modified xsi:type="dcterms:W3CDTF">2022-07-09T09:33:00Z</dcterms:modified>
</cp:coreProperties>
</file>