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25002" w14:textId="75DFBC02" w:rsidR="004A3633" w:rsidRPr="00666322" w:rsidRDefault="00470CD9" w:rsidP="00E15164">
      <w:pPr>
        <w:pBdr>
          <w:bottom w:val="single" w:sz="18" w:space="1" w:color="C00000"/>
        </w:pBdr>
        <w:spacing w:after="0"/>
        <w:jc w:val="center"/>
        <w:rPr>
          <w:rFonts w:ascii="Cambria" w:hAnsi="Cambria" w:cs="Poppins"/>
          <w:b/>
          <w:bCs/>
          <w:sz w:val="32"/>
          <w:szCs w:val="32"/>
        </w:rPr>
      </w:pPr>
      <w:r>
        <w:rPr>
          <w:rFonts w:ascii="Cambria" w:hAnsi="Cambria" w:cs="Poppins"/>
          <w:b/>
          <w:bCs/>
          <w:sz w:val="32"/>
          <w:szCs w:val="32"/>
        </w:rPr>
        <w:t>C</w:t>
      </w:r>
      <w:r w:rsidR="00067F2C" w:rsidRPr="00666322">
        <w:rPr>
          <w:rFonts w:ascii="Cambria" w:hAnsi="Cambria" w:cs="Poppins"/>
          <w:b/>
          <w:bCs/>
          <w:sz w:val="32"/>
          <w:szCs w:val="32"/>
        </w:rPr>
        <w:t>íle a zásady udržitelného rozvoje</w:t>
      </w:r>
      <w:r w:rsidR="00E15164">
        <w:rPr>
          <w:rFonts w:ascii="Cambria" w:hAnsi="Cambria" w:cs="Poppins"/>
          <w:b/>
          <w:bCs/>
          <w:sz w:val="32"/>
          <w:szCs w:val="32"/>
        </w:rPr>
        <w:t xml:space="preserve"> </w:t>
      </w:r>
      <w:r w:rsidR="00067F2C" w:rsidRPr="00666322">
        <w:rPr>
          <w:rFonts w:ascii="Cambria" w:hAnsi="Cambria" w:cs="Poppins"/>
          <w:b/>
          <w:bCs/>
          <w:sz w:val="32"/>
          <w:szCs w:val="32"/>
        </w:rPr>
        <w:t>a zásadou</w:t>
      </w:r>
      <w:r w:rsidR="00623537">
        <w:rPr>
          <w:rFonts w:ascii="Cambria" w:hAnsi="Cambria" w:cs="Poppins"/>
          <w:b/>
          <w:bCs/>
          <w:sz w:val="32"/>
          <w:szCs w:val="32"/>
        </w:rPr>
        <w:t xml:space="preserve"> </w:t>
      </w:r>
      <w:r w:rsidR="00067F2C" w:rsidRPr="00666322">
        <w:rPr>
          <w:rFonts w:ascii="Cambria" w:hAnsi="Cambria" w:cs="Poppins"/>
          <w:b/>
          <w:bCs/>
          <w:sz w:val="32"/>
          <w:szCs w:val="32"/>
        </w:rPr>
        <w:t>„významně nepoškozovat“ (dále jen „DNSH“) v</w:t>
      </w:r>
      <w:r w:rsidR="00623537">
        <w:rPr>
          <w:rFonts w:ascii="Cambria" w:hAnsi="Cambria" w:cs="Poppins"/>
          <w:b/>
          <w:bCs/>
          <w:sz w:val="32"/>
          <w:szCs w:val="32"/>
        </w:rPr>
        <w:t> </w:t>
      </w:r>
      <w:r w:rsidR="00067F2C" w:rsidRPr="00666322">
        <w:rPr>
          <w:rFonts w:ascii="Cambria" w:hAnsi="Cambria" w:cs="Poppins"/>
          <w:b/>
          <w:bCs/>
          <w:sz w:val="32"/>
          <w:szCs w:val="32"/>
        </w:rPr>
        <w:t>oblasti</w:t>
      </w:r>
      <w:r w:rsidR="00623537">
        <w:rPr>
          <w:rFonts w:ascii="Cambria" w:hAnsi="Cambria" w:cs="Poppins"/>
          <w:b/>
          <w:bCs/>
          <w:sz w:val="32"/>
          <w:szCs w:val="32"/>
        </w:rPr>
        <w:t xml:space="preserve"> </w:t>
      </w:r>
      <w:r w:rsidR="00067F2C" w:rsidRPr="00666322">
        <w:rPr>
          <w:rFonts w:ascii="Cambria" w:hAnsi="Cambria" w:cs="Poppins"/>
          <w:b/>
          <w:bCs/>
          <w:sz w:val="32"/>
          <w:szCs w:val="32"/>
        </w:rPr>
        <w:t>životního prostředí</w:t>
      </w:r>
    </w:p>
    <w:p w14:paraId="253408E2" w14:textId="77777777" w:rsidR="007D09D2" w:rsidRDefault="007D09D2" w:rsidP="00410599">
      <w:pPr>
        <w:jc w:val="both"/>
        <w:rPr>
          <w:rFonts w:ascii="Cambria" w:hAnsi="Cambria" w:cs="Poppins"/>
        </w:rPr>
      </w:pPr>
    </w:p>
    <w:p w14:paraId="393C86CF" w14:textId="7364C51C" w:rsidR="004A3633" w:rsidRPr="00067F2C" w:rsidRDefault="005C68F5" w:rsidP="00410599">
      <w:pPr>
        <w:jc w:val="both"/>
        <w:rPr>
          <w:rFonts w:ascii="Cambria" w:hAnsi="Cambria" w:cs="Poppins"/>
        </w:rPr>
      </w:pPr>
      <w:r>
        <w:rPr>
          <w:rFonts w:ascii="Cambria" w:hAnsi="Cambria" w:cs="Poppins"/>
        </w:rPr>
        <w:t>Zadavatel upozorňuje, že v</w:t>
      </w:r>
      <w:r w:rsidR="004A3633" w:rsidRPr="00067F2C">
        <w:rPr>
          <w:rFonts w:ascii="Cambria" w:hAnsi="Cambria" w:cs="Poppins"/>
        </w:rPr>
        <w:t xml:space="preserve">eškeré aktivity projektu </w:t>
      </w:r>
      <w:r w:rsidR="00EF22FD">
        <w:rPr>
          <w:rFonts w:ascii="Cambria" w:hAnsi="Cambria" w:cs="Poppins"/>
        </w:rPr>
        <w:t>„</w:t>
      </w:r>
      <w:r w:rsidR="00874D7B" w:rsidRPr="00874D7B">
        <w:rPr>
          <w:rFonts w:ascii="Cambria" w:hAnsi="Cambria" w:cs="Poppins"/>
          <w:b/>
        </w:rPr>
        <w:t xml:space="preserve">Oprava komunikací a </w:t>
      </w:r>
      <w:proofErr w:type="spellStart"/>
      <w:r w:rsidR="00874D7B" w:rsidRPr="00874D7B">
        <w:rPr>
          <w:rFonts w:ascii="Cambria" w:hAnsi="Cambria" w:cs="Poppins"/>
          <w:b/>
        </w:rPr>
        <w:t>zp</w:t>
      </w:r>
      <w:proofErr w:type="spellEnd"/>
      <w:r w:rsidR="00874D7B" w:rsidRPr="00874D7B">
        <w:rPr>
          <w:rFonts w:ascii="Cambria" w:hAnsi="Cambria" w:cs="Poppins"/>
          <w:b/>
        </w:rPr>
        <w:t xml:space="preserve"> a VO na ul. 5.května, Štefanikova a Dukelská</w:t>
      </w:r>
      <w:r w:rsidR="00EF22FD">
        <w:rPr>
          <w:rFonts w:ascii="Cambria" w:hAnsi="Cambria" w:cs="Poppins"/>
        </w:rPr>
        <w:t>“</w:t>
      </w:r>
      <w:r w:rsidR="00EF22FD" w:rsidRPr="00EF22FD">
        <w:rPr>
          <w:rFonts w:ascii="Cambria" w:hAnsi="Cambria" w:cs="Poppins"/>
        </w:rPr>
        <w:t xml:space="preserve"> </w:t>
      </w:r>
      <w:r w:rsidR="004A3633" w:rsidRPr="00067F2C">
        <w:rPr>
          <w:rFonts w:ascii="Cambria" w:hAnsi="Cambria" w:cs="Poppins"/>
        </w:rPr>
        <w:t>musí být realizovány v souladu s cíli a zásadami udržitelného rozvoje a zásadou „významně nepoškozovat“ (dále jen „DNSH“) v oblasti životního prostředí.</w:t>
      </w:r>
    </w:p>
    <w:p w14:paraId="12E27478" w14:textId="381B7703" w:rsidR="004A3633" w:rsidRPr="00067F2C" w:rsidRDefault="004A3633" w:rsidP="00743BA2">
      <w:pPr>
        <w:spacing w:after="0"/>
        <w:jc w:val="both"/>
        <w:rPr>
          <w:rFonts w:ascii="Cambria" w:hAnsi="Cambria" w:cs="Poppins"/>
          <w:u w:val="single"/>
        </w:rPr>
      </w:pPr>
      <w:r w:rsidRPr="00067F2C">
        <w:rPr>
          <w:rFonts w:ascii="Cambria" w:hAnsi="Cambria" w:cs="Poppins"/>
          <w:u w:val="single"/>
        </w:rPr>
        <w:t xml:space="preserve">Udržitelné využívání a ochrana vodních zdrojů: </w:t>
      </w:r>
    </w:p>
    <w:p w14:paraId="149AD35F" w14:textId="10B173C7" w:rsidR="004A3633" w:rsidRPr="00067F2C" w:rsidRDefault="004A3633" w:rsidP="00410599">
      <w:p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Jsou-li instalována tato zařízení k využívání vody, je pro ně uvedená spotřeba vody doložena technickými listy výrobku, stavební certifikací nebo stávajícím štítkem výrobku v EU:</w:t>
      </w:r>
    </w:p>
    <w:p w14:paraId="12ABAAB2" w14:textId="02B349ED" w:rsidR="004A3633" w:rsidRPr="00067F2C" w:rsidRDefault="004A3633" w:rsidP="00743BA2">
      <w:pPr>
        <w:pStyle w:val="Odstavecseseznamem"/>
        <w:numPr>
          <w:ilvl w:val="0"/>
          <w:numId w:val="2"/>
        </w:num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umyvadlové baterie a kuchyňské baterie mají maximální průtok vody 6 litrů/min;</w:t>
      </w:r>
    </w:p>
    <w:p w14:paraId="5EC03791" w14:textId="3327B827" w:rsidR="004A3633" w:rsidRPr="00067F2C" w:rsidRDefault="004A3633" w:rsidP="00743BA2">
      <w:pPr>
        <w:pStyle w:val="Odstavecseseznamem"/>
        <w:numPr>
          <w:ilvl w:val="0"/>
          <w:numId w:val="2"/>
        </w:num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sprchy mají maximální průtok vody 8 litrů/min;</w:t>
      </w:r>
    </w:p>
    <w:p w14:paraId="0F20ABC4" w14:textId="15D08CB6" w:rsidR="004A3633" w:rsidRPr="00067F2C" w:rsidRDefault="004A3633" w:rsidP="00743BA2">
      <w:pPr>
        <w:pStyle w:val="Odstavecseseznamem"/>
        <w:numPr>
          <w:ilvl w:val="0"/>
          <w:numId w:val="2"/>
        </w:num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WC, zahrnující soupravy, mísy a splachovací nádrže, mají úplný objem splachovací vody maximálně 6 litrů a maximální průměrný objem splachovací vody 3,5 litru;</w:t>
      </w:r>
    </w:p>
    <w:p w14:paraId="736A3BDE" w14:textId="7CB2D2BE" w:rsidR="004A3633" w:rsidRPr="00067F2C" w:rsidRDefault="004A3633" w:rsidP="00743BA2">
      <w:pPr>
        <w:pStyle w:val="Odstavecseseznamem"/>
        <w:numPr>
          <w:ilvl w:val="0"/>
          <w:numId w:val="2"/>
        </w:num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pisoáry spotřebují maximálně 2 litry/mísu/hodinu. Splachovací pisoáry mají maximální úplný objem splachovací vody 1 litr.</w:t>
      </w:r>
    </w:p>
    <w:p w14:paraId="4D87A04B" w14:textId="734BBECD" w:rsidR="004A3633" w:rsidRPr="00067F2C" w:rsidRDefault="004A3633" w:rsidP="00743BA2">
      <w:pPr>
        <w:spacing w:after="0"/>
        <w:jc w:val="both"/>
        <w:rPr>
          <w:rFonts w:ascii="Cambria" w:hAnsi="Cambria" w:cs="Poppins"/>
          <w:u w:val="single"/>
        </w:rPr>
      </w:pPr>
      <w:r w:rsidRPr="00067F2C">
        <w:rPr>
          <w:rFonts w:ascii="Cambria" w:hAnsi="Cambria" w:cs="Poppins"/>
          <w:u w:val="single"/>
        </w:rPr>
        <w:t>Přechod na oběhové hospodářství:</w:t>
      </w:r>
    </w:p>
    <w:p w14:paraId="671D45C5" w14:textId="3BE3C15F" w:rsidR="004A3633" w:rsidRPr="00067F2C" w:rsidRDefault="004A3633" w:rsidP="00410599">
      <w:p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Nejméně 70 % (hmotnostních) stavebního a demoličního odpadu neklasifikovaného jako nebezpečný (s výjimkou v přírodě se vyskytujících materiálů uvedených v kategorii 17 05 04 v Evropském seznamu odpadů stanoveném rozhodnutím 2000/532/ES) vzniklého na staveništi musí být připraveno k opětovnému použití, recyklaci a k jiným druhům materiálového využití, včetně zásypů, při nichž jsou jiné materiály nahrazeny odpadem, v souladu s hierarchií způsobů nakládání s odpady a protokolem EU pro nakládání se stavebním a demoličním odpadem.</w:t>
      </w:r>
    </w:p>
    <w:p w14:paraId="6C7FD2CD" w14:textId="77777777" w:rsidR="00A16935" w:rsidRPr="00067F2C" w:rsidRDefault="004A3633" w:rsidP="00A16935">
      <w:pPr>
        <w:spacing w:after="0"/>
        <w:jc w:val="both"/>
        <w:rPr>
          <w:rFonts w:ascii="Cambria" w:hAnsi="Cambria" w:cs="Poppins"/>
          <w:u w:val="single"/>
        </w:rPr>
      </w:pPr>
      <w:r w:rsidRPr="00067F2C">
        <w:rPr>
          <w:rFonts w:ascii="Cambria" w:hAnsi="Cambria" w:cs="Poppins"/>
          <w:u w:val="single"/>
        </w:rPr>
        <w:t>Prevence a omezování znečištění:</w:t>
      </w:r>
    </w:p>
    <w:p w14:paraId="690A7F50" w14:textId="2C4EF7A9" w:rsidR="004A3633" w:rsidRPr="00067F2C" w:rsidRDefault="004A3633" w:rsidP="00410599">
      <w:p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Ze stavebních prvků a materiálů použitých při stavbě, které mohou přijít do styku s uživateli, se při zkouškách v souladu s podmínkami uvedenými v příloze XVII nařízení Evropského parlamentu a Rady (ES) č. 1907/2006 uvolňuje méně než 0,06 mg formaldehydu na m³ materiálu nebo prvku a při zkouškách podle normy CEN/EN 16516 a ISO 16000-3:2011 nebo jiných srovnatelných standardizovaných zkušebních podmínek a metod stanovení méně než 0,001 mg jiných karcinogenních těkavých organických sloučenin kategorie 1A a 1B na m³ materiálu nebo prvku.</w:t>
      </w:r>
    </w:p>
    <w:p w14:paraId="52C31DB7" w14:textId="2567BFA4" w:rsidR="004A3633" w:rsidRPr="00067F2C" w:rsidRDefault="004A3633" w:rsidP="00410599">
      <w:p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Pokud je nová stavba umístěna na potenciálně kontaminovaném místě (brownfield), bylo na staveništi provedeno šetření na potenciální kontaminující látky, například podle normy ISO 18400.</w:t>
      </w:r>
    </w:p>
    <w:p w14:paraId="2257E6C6" w14:textId="182FCE2C" w:rsidR="004A3633" w:rsidRPr="00067F2C" w:rsidRDefault="004A3633" w:rsidP="00410599">
      <w:p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Přijímají se opatření ke snížení hluku, prachu a emisí znečišťujících látek při stavebních nebo údržbářských pracích.</w:t>
      </w:r>
    </w:p>
    <w:p w14:paraId="213D05FC" w14:textId="4AD2C72A" w:rsidR="004A3633" w:rsidRPr="00067F2C" w:rsidRDefault="004A3633" w:rsidP="00743BA2">
      <w:pPr>
        <w:spacing w:after="0"/>
        <w:jc w:val="both"/>
        <w:rPr>
          <w:rFonts w:ascii="Cambria" w:hAnsi="Cambria" w:cs="Poppins"/>
          <w:u w:val="single"/>
        </w:rPr>
      </w:pPr>
      <w:r w:rsidRPr="00067F2C">
        <w:rPr>
          <w:rFonts w:ascii="Cambria" w:hAnsi="Cambria" w:cs="Poppins"/>
          <w:u w:val="single"/>
        </w:rPr>
        <w:t>Ochrana a obnova biologické rozmanitosti a ekosystémů:</w:t>
      </w:r>
    </w:p>
    <w:p w14:paraId="3D1B5609" w14:textId="7D052E6B" w:rsidR="004A3633" w:rsidRPr="00067F2C" w:rsidRDefault="004A3633" w:rsidP="00410599">
      <w:p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Nová budova není postavena na:</w:t>
      </w:r>
    </w:p>
    <w:p w14:paraId="5CC067AB" w14:textId="4F798678" w:rsidR="004A3633" w:rsidRPr="00067F2C" w:rsidRDefault="004A3633" w:rsidP="00166F04">
      <w:pPr>
        <w:pStyle w:val="Odstavecseseznamem"/>
        <w:numPr>
          <w:ilvl w:val="0"/>
          <w:numId w:val="4"/>
        </w:num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orné půdě a zemědělské půdě se střední až vysokou úrovní úrodnosti a podzemní biologické rozmanitosti podle průzkumu EU LUCAS</w:t>
      </w:r>
    </w:p>
    <w:p w14:paraId="5C55E123" w14:textId="04288AEE" w:rsidR="004A3633" w:rsidRPr="00067F2C" w:rsidRDefault="004A3633" w:rsidP="00166F04">
      <w:pPr>
        <w:pStyle w:val="Odstavecseseznamem"/>
        <w:numPr>
          <w:ilvl w:val="0"/>
          <w:numId w:val="4"/>
        </w:num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lastRenderedPageBreak/>
        <w:t>zelené louce s uznávanou vysokou hodnotou biologické rozmanitosti a půdě, která slouží jako stanoviště ohrožených druhů (flóry a fauny) uvedených na Evropském červeném seznamu nebo na Červeném seznamu ohrožených druhů IUCN</w:t>
      </w:r>
    </w:p>
    <w:p w14:paraId="50FF0F17" w14:textId="0AA6E79B" w:rsidR="00166F04" w:rsidRPr="00067F2C" w:rsidRDefault="004A3633" w:rsidP="00EC3647">
      <w:pPr>
        <w:pStyle w:val="Odstavecseseznamem"/>
        <w:numPr>
          <w:ilvl w:val="0"/>
          <w:numId w:val="4"/>
        </w:numPr>
        <w:jc w:val="both"/>
        <w:rPr>
          <w:rFonts w:ascii="Cambria" w:hAnsi="Cambria" w:cs="Poppins"/>
        </w:rPr>
      </w:pPr>
      <w:r w:rsidRPr="00067F2C">
        <w:rPr>
          <w:rFonts w:ascii="Cambria" w:hAnsi="Cambria" w:cs="Poppins"/>
        </w:rPr>
        <w:t>půdě, která odpovídá definici lesa stanovené ve vnitrostátních právních předpisech nebo používané v národní inventuře skleníkových plynů, nebo pokud taková definice neexistuje, půdě, která je v souladu s definicí lesa podle FA</w:t>
      </w:r>
      <w:r w:rsidR="00743BA2" w:rsidRPr="00067F2C">
        <w:rPr>
          <w:rFonts w:ascii="Cambria" w:hAnsi="Cambria" w:cs="Poppins"/>
        </w:rPr>
        <w:t>O</w:t>
      </w:r>
      <w:r w:rsidRPr="00067F2C">
        <w:rPr>
          <w:rFonts w:ascii="Cambria" w:hAnsi="Cambria" w:cs="Poppins"/>
        </w:rPr>
        <w:t>.</w:t>
      </w:r>
    </w:p>
    <w:sectPr w:rsidR="00166F04" w:rsidRPr="00067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0661F"/>
    <w:multiLevelType w:val="hybridMultilevel"/>
    <w:tmpl w:val="42C019FE"/>
    <w:lvl w:ilvl="0" w:tplc="0A20AAB4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11AA8"/>
    <w:multiLevelType w:val="hybridMultilevel"/>
    <w:tmpl w:val="A1409C7E"/>
    <w:lvl w:ilvl="0" w:tplc="0A20AAB4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C47CF"/>
    <w:multiLevelType w:val="hybridMultilevel"/>
    <w:tmpl w:val="74FA40A8"/>
    <w:lvl w:ilvl="0" w:tplc="7EBEBC4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B0F4D"/>
    <w:multiLevelType w:val="hybridMultilevel"/>
    <w:tmpl w:val="6F00C6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639805">
    <w:abstractNumId w:val="3"/>
  </w:num>
  <w:num w:numId="2" w16cid:durableId="892500486">
    <w:abstractNumId w:val="0"/>
  </w:num>
  <w:num w:numId="3" w16cid:durableId="712463276">
    <w:abstractNumId w:val="1"/>
  </w:num>
  <w:num w:numId="4" w16cid:durableId="1054549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D3"/>
    <w:rsid w:val="00067F2C"/>
    <w:rsid w:val="000F78D3"/>
    <w:rsid w:val="00166F04"/>
    <w:rsid w:val="002B5E89"/>
    <w:rsid w:val="003C32AA"/>
    <w:rsid w:val="00410599"/>
    <w:rsid w:val="00422BA3"/>
    <w:rsid w:val="00470CD9"/>
    <w:rsid w:val="0048061B"/>
    <w:rsid w:val="004A3633"/>
    <w:rsid w:val="005C68F5"/>
    <w:rsid w:val="005E62F6"/>
    <w:rsid w:val="00623537"/>
    <w:rsid w:val="00666322"/>
    <w:rsid w:val="006A2610"/>
    <w:rsid w:val="00743BA2"/>
    <w:rsid w:val="00771DED"/>
    <w:rsid w:val="007D09D2"/>
    <w:rsid w:val="00874D7B"/>
    <w:rsid w:val="009E3056"/>
    <w:rsid w:val="00A16935"/>
    <w:rsid w:val="00D23BFA"/>
    <w:rsid w:val="00E15164"/>
    <w:rsid w:val="00EC3647"/>
    <w:rsid w:val="00ED5A79"/>
    <w:rsid w:val="00EF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A6092"/>
  <w15:chartTrackingRefBased/>
  <w15:docId w15:val="{EF6628B1-3C65-46B9-BA89-73301FA1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3633"/>
    <w:pPr>
      <w:spacing w:after="200" w:line="27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3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454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Jiří Rezek</cp:lastModifiedBy>
  <cp:revision>6</cp:revision>
  <dcterms:created xsi:type="dcterms:W3CDTF">2022-12-01T13:26:00Z</dcterms:created>
  <dcterms:modified xsi:type="dcterms:W3CDTF">2026-02-12T12:23:00Z</dcterms:modified>
</cp:coreProperties>
</file>