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62CB468D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3E21C2" w:rsidRPr="003E21C2">
        <w:rPr>
          <w:rFonts w:ascii="Arial" w:hAnsi="Arial"/>
          <w:sz w:val="22"/>
          <w:szCs w:val="22"/>
        </w:rPr>
        <w:t>Beskyd Fryčovice, a.s.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</w:p>
    <w:p w14:paraId="67DFCA62" w14:textId="05AB3F43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Fryčovice 606, 739 45 Fryčovice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149058E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smluvních: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17E3CE52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5400E776" w14:textId="4C919F0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3E21C2" w:rsidRPr="006271D5">
        <w:rPr>
          <w:rFonts w:ascii="Arial" w:hAnsi="Arial"/>
          <w:b w:val="0"/>
          <w:sz w:val="22"/>
          <w:szCs w:val="22"/>
        </w:rPr>
        <w:t>45192901</w:t>
      </w:r>
    </w:p>
    <w:p w14:paraId="41BC810B" w14:textId="1E25479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CZ45192901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7AF6167" w14:textId="05865B72" w:rsidR="00D855FC" w:rsidRDefault="00D855FC" w:rsidP="00D855FC">
      <w:pPr>
        <w:ind w:left="708"/>
        <w:rPr>
          <w:rFonts w:asciiTheme="minorHAnsi" w:hAnsiTheme="minorHAnsi"/>
          <w:b w:val="0"/>
          <w:sz w:val="24"/>
          <w:szCs w:val="24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3E21C2" w:rsidRPr="003E21C2">
        <w:rPr>
          <w:rFonts w:ascii="Arial" w:hAnsi="Arial"/>
          <w:b w:val="0"/>
          <w:sz w:val="22"/>
          <w:szCs w:val="22"/>
        </w:rPr>
        <w:t>oddíl B, vložka 448, vedená u Krajského soudu v Ostravě</w:t>
      </w:r>
    </w:p>
    <w:p w14:paraId="1E38A787" w14:textId="7777777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11772AF6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>
        <w:rPr>
          <w:rFonts w:ascii="Arial" w:hAnsi="Arial"/>
          <w:b w:val="0"/>
          <w:sz w:val="22"/>
          <w:szCs w:val="22"/>
        </w:rPr>
        <w:t xml:space="preserve">účtu: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2915781/0100</w:t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3ED5C91F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 w:rsidRPr="00353723">
        <w:rPr>
          <w:rFonts w:ascii="Arial" w:hAnsi="Arial" w:cs="Arial"/>
          <w:b w:val="0"/>
          <w:sz w:val="22"/>
          <w:szCs w:val="22"/>
        </w:rPr>
        <w:t>………………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886B9DC" w14:textId="71D7D663" w:rsidR="00D855FC" w:rsidRPr="00353723" w:rsidRDefault="003E21C2" w:rsidP="003E21C2">
      <w:pPr>
        <w:tabs>
          <w:tab w:val="left" w:pos="3330"/>
        </w:tabs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 w:rsidRPr="003E21C2">
        <w:rPr>
          <w:rFonts w:ascii="Arial" w:hAnsi="Arial" w:cs="Arial"/>
          <w:b w:val="0"/>
          <w:sz w:val="22"/>
          <w:szCs w:val="22"/>
        </w:rPr>
        <w:t>ŠOKOVÉ CHLAZENÍ HOTOVÝCH VÝROBKŮ – LAHŮDKY</w:t>
      </w:r>
      <w:r w:rsidR="00200356">
        <w:rPr>
          <w:rFonts w:ascii="Arial" w:hAnsi="Arial" w:cs="Arial"/>
          <w:b w:val="0"/>
          <w:sz w:val="22"/>
          <w:szCs w:val="22"/>
        </w:rPr>
        <w:t xml:space="preserve"> II</w:t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F58D71B" w14:textId="60271C72" w:rsidR="003E21C2" w:rsidRPr="003E21C2" w:rsidRDefault="003E21C2" w:rsidP="003E21C2">
      <w:pPr>
        <w:pStyle w:val="Odstavecseseznamem"/>
        <w:numPr>
          <w:ilvl w:val="1"/>
          <w:numId w:val="1"/>
        </w:numPr>
        <w:rPr>
          <w:rFonts w:ascii="Arial" w:hAnsi="Arial" w:cs="Arial"/>
          <w:b w:val="0"/>
          <w:sz w:val="22"/>
          <w:szCs w:val="22"/>
        </w:rPr>
      </w:pPr>
      <w:r w:rsidRPr="003E21C2">
        <w:rPr>
          <w:rFonts w:ascii="Arial" w:hAnsi="Arial" w:cs="Arial"/>
          <w:b w:val="0"/>
          <w:sz w:val="22"/>
          <w:szCs w:val="22"/>
        </w:rPr>
        <w:t xml:space="preserve">Místem provádění díla je areál společnosti Beskyd Fryčovice, a.s., konkrétně zhotovitel bude dílo provádět v nemovitostech vystavěných na pozemku </w:t>
      </w:r>
      <w:proofErr w:type="spellStart"/>
      <w:r w:rsidRPr="003E21C2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Pr="003E21C2">
        <w:rPr>
          <w:rFonts w:ascii="Arial" w:hAnsi="Arial" w:cs="Arial"/>
          <w:b w:val="0"/>
          <w:sz w:val="22"/>
          <w:szCs w:val="22"/>
        </w:rPr>
        <w:t>. par. č. 1804/28 v katastrálním území Fryčovice, obec Fryčovice okres Frýdek-Místek, zapsaných u Katastrálního úřadu pro kraj Moravskoslezský kraj, Katastrální pracoviště Frýdek-Místek.</w:t>
      </w: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353723">
        <w:rPr>
          <w:rFonts w:cs="Arial"/>
          <w:b w:val="0"/>
          <w:sz w:val="22"/>
          <w:szCs w:val="22"/>
          <w:u w:val="none"/>
        </w:rPr>
        <w:t>…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…,-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>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5654A773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</w:t>
      </w:r>
      <w:proofErr w:type="gramStart"/>
      <w:r w:rsidR="00123F46">
        <w:rPr>
          <w:rFonts w:cs="Arial"/>
          <w:b w:val="0"/>
          <w:bCs/>
          <w:sz w:val="22"/>
          <w:szCs w:val="22"/>
          <w:u w:val="none"/>
        </w:rPr>
        <w:t xml:space="preserve">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jeho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08EB727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F821DF">
        <w:rPr>
          <w:rFonts w:ascii="Arial" w:hAnsi="Arial" w:cs="Arial"/>
          <w:b w:val="0"/>
          <w:bCs/>
          <w:noProof/>
          <w:sz w:val="22"/>
          <w:szCs w:val="22"/>
        </w:rPr>
        <w:t>, pokud v příloze č. 1 zadávací dokumentace není uvedeno jinak.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3BA68E76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F821DF">
        <w:rPr>
          <w:rFonts w:cs="Arial"/>
          <w:b w:val="0"/>
          <w:sz w:val="22"/>
          <w:szCs w:val="22"/>
          <w:u w:val="none"/>
        </w:rPr>
        <w:t>, pokud v příloze č. 1 zadávací dokumentace není stanoveno jinak.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dnem podpisu oprávněnými zástupci </w:t>
      </w:r>
      <w:r w:rsidR="0066204D" w:rsidRPr="00353723">
        <w:rPr>
          <w:rFonts w:cs="Arial"/>
          <w:b w:val="0"/>
          <w:sz w:val="22"/>
          <w:szCs w:val="22"/>
          <w:u w:val="none"/>
        </w:rPr>
        <w:lastRenderedPageBreak/>
        <w:t>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32C71B5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783FD" w14:textId="77777777" w:rsidR="00F440A9" w:rsidRDefault="00F440A9">
      <w:r>
        <w:separator/>
      </w:r>
    </w:p>
  </w:endnote>
  <w:endnote w:type="continuationSeparator" w:id="0">
    <w:p w14:paraId="24C1B320" w14:textId="77777777" w:rsidR="00F440A9" w:rsidRDefault="00F440A9">
      <w:r>
        <w:continuationSeparator/>
      </w:r>
    </w:p>
  </w:endnote>
  <w:endnote w:type="continuationNotice" w:id="1">
    <w:p w14:paraId="73C48224" w14:textId="77777777" w:rsidR="00F440A9" w:rsidRDefault="00F44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6403" w14:textId="77777777" w:rsidR="00F440A9" w:rsidRDefault="00F440A9">
      <w:r>
        <w:separator/>
      </w:r>
    </w:p>
  </w:footnote>
  <w:footnote w:type="continuationSeparator" w:id="0">
    <w:p w14:paraId="5607B0E1" w14:textId="77777777" w:rsidR="00F440A9" w:rsidRDefault="00F440A9">
      <w:r>
        <w:continuationSeparator/>
      </w:r>
    </w:p>
  </w:footnote>
  <w:footnote w:type="continuationNotice" w:id="1">
    <w:p w14:paraId="713E91E3" w14:textId="77777777" w:rsidR="00F440A9" w:rsidRDefault="00F44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77394955" r:id="rId3"/>
      </w:object>
    </w:r>
  </w:p>
  <w:p w14:paraId="57D52C1D" w14:textId="77777777" w:rsidR="00EE2042" w:rsidRPr="009F3DBD" w:rsidRDefault="00F440A9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4368C"/>
    <w:rsid w:val="00846602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17D6"/>
    <w:rsid w:val="00F3722A"/>
    <w:rsid w:val="00F440A9"/>
    <w:rsid w:val="00F645D7"/>
    <w:rsid w:val="00F73ACE"/>
    <w:rsid w:val="00F821DF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8287D-0B73-46FF-B82F-DEBE3865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2597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