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AE" w:rsidRDefault="002E1DAE" w:rsidP="002B511D">
      <w:pPr>
        <w:jc w:val="center"/>
        <w:rPr>
          <w:b/>
        </w:rPr>
      </w:pPr>
      <w:r>
        <w:rPr>
          <w:b/>
        </w:rPr>
        <w:tab/>
      </w:r>
      <w:r>
        <w:rPr>
          <w:b/>
        </w:rPr>
        <w:tab/>
      </w:r>
      <w:r>
        <w:rPr>
          <w:b/>
        </w:rPr>
        <w:tab/>
      </w:r>
      <w:r>
        <w:rPr>
          <w:b/>
        </w:rPr>
        <w:tab/>
      </w:r>
      <w:r>
        <w:rPr>
          <w:b/>
        </w:rPr>
        <w:tab/>
      </w:r>
      <w:r>
        <w:rPr>
          <w:b/>
        </w:rPr>
        <w:tab/>
      </w:r>
      <w:r>
        <w:rPr>
          <w:b/>
        </w:rPr>
        <w:tab/>
      </w:r>
      <w:r>
        <w:rPr>
          <w:b/>
        </w:rPr>
        <w:tab/>
      </w:r>
      <w:r>
        <w:rPr>
          <w:b/>
        </w:rPr>
        <w:tab/>
        <w:t>Revizeč.1</w:t>
      </w:r>
    </w:p>
    <w:p w:rsidR="002E1DAE" w:rsidRDefault="002E1DAE" w:rsidP="002B511D">
      <w:pPr>
        <w:jc w:val="center"/>
        <w:rPr>
          <w:b/>
        </w:rPr>
      </w:pPr>
    </w:p>
    <w:p w:rsidR="002B511D"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FB09C6" w:rsidRPr="001168FF" w:rsidRDefault="00FB09C6" w:rsidP="002B511D">
      <w:pPr>
        <w:jc w:val="center"/>
        <w:rPr>
          <w:b/>
        </w:rPr>
      </w:pPr>
    </w:p>
    <w:p w:rsidR="002B511D" w:rsidRDefault="002B511D" w:rsidP="002B511D">
      <w:pPr>
        <w:jc w:val="center"/>
        <w:rPr>
          <w:b/>
          <w:sz w:val="28"/>
          <w:szCs w:val="28"/>
        </w:rPr>
      </w:pPr>
      <w:r w:rsidRPr="001168FF">
        <w:rPr>
          <w:b/>
          <w:sz w:val="28"/>
          <w:szCs w:val="28"/>
        </w:rPr>
        <w:t>„</w:t>
      </w:r>
      <w:r w:rsidR="00A31DB1">
        <w:rPr>
          <w:b/>
          <w:sz w:val="28"/>
          <w:szCs w:val="28"/>
        </w:rPr>
        <w:t>Dodávka odbavovacího a informačního systému pro vozidla a kanceláře MHD s přípravou pro vstup do</w:t>
      </w:r>
      <w:r w:rsidR="003977A7">
        <w:rPr>
          <w:b/>
          <w:sz w:val="28"/>
          <w:szCs w:val="28"/>
        </w:rPr>
        <w:t xml:space="preserve"> IDS (VDV) kraje Vysočina“</w:t>
      </w:r>
      <w:r w:rsidR="00BA7BB4">
        <w:rPr>
          <w:b/>
          <w:sz w:val="28"/>
          <w:szCs w:val="28"/>
        </w:rPr>
        <w:t xml:space="preserve"> </w:t>
      </w:r>
    </w:p>
    <w:p w:rsidR="00FB09C6" w:rsidRPr="001168FF" w:rsidRDefault="00FB09C6"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F179C1" w:rsidRDefault="000310E9" w:rsidP="008E538B">
      <w:r>
        <w:t>Lubomír Hepner</w:t>
      </w:r>
      <w:r w:rsidR="008E538B" w:rsidRPr="001168FF">
        <w:t xml:space="preserve">, vedoucí střediska </w:t>
      </w:r>
      <w:r w:rsidR="008E538B">
        <w:t>(</w:t>
      </w:r>
      <w:r>
        <w:t>7240</w:t>
      </w:r>
      <w:r w:rsidR="00A31DB1">
        <w:t xml:space="preserve"> </w:t>
      </w:r>
      <w:r>
        <w:t>69207</w:t>
      </w:r>
      <w:r w:rsidR="008E538B" w:rsidRPr="001168FF">
        <w:t xml:space="preserve">; </w:t>
      </w:r>
      <w:hyperlink r:id="rId8" w:history="1">
        <w:r w:rsidRPr="002469F1">
          <w:rPr>
            <w:rStyle w:val="Hypertextovodkaz"/>
          </w:rPr>
          <w:t>lhepner@tshb.cz</w:t>
        </w:r>
      </w:hyperlink>
      <w:r w:rsidR="008E538B" w:rsidRPr="00A07A4B">
        <w:t>)</w:t>
      </w:r>
      <w:r w:rsidR="00A31DB1">
        <w:t xml:space="preserve"> </w:t>
      </w:r>
    </w:p>
    <w:p w:rsidR="0050032B" w:rsidRPr="001168FF" w:rsidRDefault="0050032B" w:rsidP="002E1DAE">
      <w:pPr>
        <w:jc w:val="right"/>
      </w:pPr>
    </w:p>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t>je</w:t>
      </w:r>
      <w:r w:rsidR="00A31DB1">
        <w:t xml:space="preserve"> </w:t>
      </w:r>
      <w:r>
        <w:t>dodávka</w:t>
      </w:r>
      <w:r w:rsidR="00A31DB1">
        <w:t xml:space="preserve"> a instalace </w:t>
      </w:r>
      <w:r w:rsidR="00A31DB1" w:rsidRPr="00A31DB1">
        <w:t xml:space="preserve">odbavovacího a informačního systému pro vozidla a kanceláře MHD s přípravou pro vstup do IDS </w:t>
      </w:r>
      <w:r w:rsidR="00F35EE7">
        <w:t xml:space="preserve">(VDV) kraje Vysočina </w:t>
      </w:r>
      <w:r w:rsidR="00184CB7">
        <w:t>d</w:t>
      </w:r>
      <w:r w:rsidR="00A31DB1">
        <w:t>le z</w:t>
      </w:r>
      <w:r>
        <w:t xml:space="preserve">ákladní </w:t>
      </w:r>
      <w:r>
        <w:rPr>
          <w:rFonts w:cs="Arial"/>
        </w:rPr>
        <w:t xml:space="preserve"> technické specifikace </w:t>
      </w:r>
      <w:r w:rsidRPr="001168FF">
        <w:rPr>
          <w:rFonts w:cs="Arial"/>
        </w:rPr>
        <w:t>v</w:t>
      </w:r>
      <w:r>
        <w:rPr>
          <w:rFonts w:cs="Arial"/>
        </w:rPr>
        <w:t xml:space="preserve"> příloze </w:t>
      </w:r>
      <w:proofErr w:type="gramStart"/>
      <w:r>
        <w:rPr>
          <w:rFonts w:cs="Arial"/>
        </w:rPr>
        <w:t>č.1</w:t>
      </w:r>
      <w:r w:rsidR="00A31DB1">
        <w:rPr>
          <w:rFonts w:cs="Arial"/>
        </w:rPr>
        <w:t xml:space="preserve"> </w:t>
      </w:r>
      <w:r>
        <w:rPr>
          <w:rFonts w:cs="Arial"/>
        </w:rPr>
        <w:t>zadávací</w:t>
      </w:r>
      <w:proofErr w:type="gramEnd"/>
      <w:r>
        <w:rPr>
          <w:rFonts w:cs="Arial"/>
        </w:rPr>
        <w:t xml:space="preserve"> dokumentace.</w:t>
      </w:r>
      <w:r w:rsidRPr="00171B61">
        <w:rPr>
          <w:rFonts w:cs="Arial"/>
          <w:sz w:val="22"/>
          <w:szCs w:val="22"/>
        </w:rPr>
        <w:t xml:space="preserve"> </w:t>
      </w:r>
    </w:p>
    <w:p w:rsidR="002B511D" w:rsidRPr="00DB35E1" w:rsidRDefault="002B511D" w:rsidP="002B511D"/>
    <w:p w:rsidR="00A87A2F" w:rsidRPr="00DB35E1" w:rsidRDefault="00A87A2F" w:rsidP="00A87A2F">
      <w:pPr>
        <w:rPr>
          <w:rFonts w:cs="Arial"/>
        </w:rPr>
      </w:pPr>
      <w:r w:rsidRPr="00DB35E1">
        <w:rPr>
          <w:rFonts w:cs="Arial"/>
        </w:rPr>
        <w:t>Zadavatel zvažuje budoucí vstup do IDS (VDV) kraje Vysočina.</w:t>
      </w:r>
      <w:r w:rsidR="000F1D46" w:rsidRPr="00DB35E1">
        <w:rPr>
          <w:rFonts w:cs="Arial"/>
        </w:rPr>
        <w:t xml:space="preserve"> Případný</w:t>
      </w:r>
      <w:r w:rsidRPr="00DB35E1">
        <w:rPr>
          <w:rFonts w:cs="Arial"/>
        </w:rPr>
        <w:t xml:space="preserve"> </w:t>
      </w:r>
      <w:r w:rsidR="000F1D46" w:rsidRPr="00DB35E1">
        <w:rPr>
          <w:rFonts w:cs="Arial"/>
        </w:rPr>
        <w:t>dodavatel je též povinen dodat  vyjádření ceny</w:t>
      </w:r>
      <w:r w:rsidRPr="00DB35E1">
        <w:rPr>
          <w:rFonts w:cs="Arial"/>
        </w:rPr>
        <w:t xml:space="preserve"> rozšíření nabízeného zařízení a sw výbavy pro budoucí vstup do IDS (VDV) kraje Vysočina</w:t>
      </w:r>
      <w:r w:rsidR="000F1D46" w:rsidRPr="00DB35E1">
        <w:rPr>
          <w:rFonts w:cs="Arial"/>
        </w:rPr>
        <w:t>, což uvede do přílohy č. 3 - rozpočet</w:t>
      </w:r>
      <w:r w:rsidRPr="00DB35E1">
        <w:rPr>
          <w:rFonts w:cs="Arial"/>
        </w:rPr>
        <w:t xml:space="preserve">. </w:t>
      </w:r>
    </w:p>
    <w:p w:rsidR="00A87A2F" w:rsidRPr="00DB35E1" w:rsidRDefault="00A87A2F" w:rsidP="002B511D"/>
    <w:p w:rsidR="002B511D" w:rsidRPr="00DB35E1" w:rsidRDefault="00A66E95" w:rsidP="002B511D">
      <w:pPr>
        <w:widowControl w:val="0"/>
        <w:rPr>
          <w:rFonts w:cs="Arial"/>
          <w:b/>
          <w:snapToGrid w:val="0"/>
          <w:u w:val="single"/>
        </w:rPr>
      </w:pPr>
      <w:r w:rsidRPr="00DB35E1">
        <w:rPr>
          <w:rFonts w:cs="Arial"/>
          <w:b/>
          <w:snapToGrid w:val="0"/>
          <w:u w:val="single"/>
        </w:rPr>
        <w:t>Údaje o přístupu k zadávací dokumentaci</w:t>
      </w:r>
      <w:r w:rsidR="002B511D" w:rsidRPr="00DB35E1">
        <w:rPr>
          <w:rFonts w:cs="Arial"/>
          <w:b/>
          <w:snapToGrid w:val="0"/>
          <w:u w:val="single"/>
        </w:rPr>
        <w:t>:</w:t>
      </w:r>
    </w:p>
    <w:p w:rsidR="009A5FC5" w:rsidRPr="00DB35E1" w:rsidRDefault="00A66E95" w:rsidP="00B4455E">
      <w:pPr>
        <w:rPr>
          <w:rStyle w:val="Hypertextovodkaz"/>
          <w:color w:val="auto"/>
          <w:u w:val="none"/>
        </w:rPr>
      </w:pPr>
      <w:r w:rsidRPr="00DB35E1">
        <w:t xml:space="preserve">Zadávací dokumentace v kompletním znění je přístupná na profilu zadavatele na internetové adrese: </w:t>
      </w:r>
    </w:p>
    <w:p w:rsidR="00A66E95" w:rsidRPr="00DB35E1" w:rsidRDefault="006B1F5C" w:rsidP="002B511D">
      <w:hyperlink r:id="rId9" w:history="1">
        <w:r w:rsidR="008705C8" w:rsidRPr="00DB35E1">
          <w:rPr>
            <w:rStyle w:val="Hypertextovodkaz"/>
            <w:color w:val="auto"/>
          </w:rPr>
          <w:t>http://www.e-zakazky.cz/Profil-Zadavatele/74f211ca-2bc1-4b2a-b371-df3d604ab3aa</w:t>
        </w:r>
      </w:hyperlink>
    </w:p>
    <w:p w:rsidR="008705C8" w:rsidRPr="00DB35E1" w:rsidRDefault="008705C8" w:rsidP="002B511D"/>
    <w:p w:rsidR="002B511D" w:rsidRPr="00DB35E1" w:rsidRDefault="002B511D" w:rsidP="002B511D">
      <w:r w:rsidRPr="00DB35E1">
        <w:t xml:space="preserve">Zadávací dokumentace obsahuje: </w:t>
      </w:r>
    </w:p>
    <w:p w:rsidR="002B511D" w:rsidRPr="00DB35E1" w:rsidRDefault="009A5FC5" w:rsidP="002B511D">
      <w:pPr>
        <w:numPr>
          <w:ilvl w:val="0"/>
          <w:numId w:val="20"/>
        </w:numPr>
      </w:pPr>
      <w:r w:rsidRPr="00DB35E1">
        <w:t>Výzvu pro podání nabídky</w:t>
      </w:r>
    </w:p>
    <w:p w:rsidR="002B511D" w:rsidRDefault="009A5FC5" w:rsidP="002B511D">
      <w:pPr>
        <w:numPr>
          <w:ilvl w:val="0"/>
          <w:numId w:val="20"/>
        </w:numPr>
      </w:pPr>
      <w:r w:rsidRPr="00DB35E1">
        <w:t>K</w:t>
      </w:r>
      <w:r w:rsidR="002B511D" w:rsidRPr="00DB35E1">
        <w:t>rycí list</w:t>
      </w:r>
    </w:p>
    <w:p w:rsidR="00F35EE7" w:rsidRPr="00DB35E1" w:rsidRDefault="00F35EE7" w:rsidP="002B511D">
      <w:pPr>
        <w:numPr>
          <w:ilvl w:val="0"/>
          <w:numId w:val="20"/>
        </w:numPr>
      </w:pPr>
      <w:r>
        <w:t>Návrh smlouvy o dílo</w:t>
      </w:r>
    </w:p>
    <w:p w:rsidR="00D20ADF" w:rsidRPr="00DB35E1" w:rsidRDefault="00D20ADF" w:rsidP="008E538B">
      <w:pPr>
        <w:numPr>
          <w:ilvl w:val="0"/>
          <w:numId w:val="20"/>
        </w:numPr>
      </w:pPr>
      <w:r w:rsidRPr="00DB35E1">
        <w:t>Základní t</w:t>
      </w:r>
      <w:r w:rsidR="008E538B" w:rsidRPr="00DB35E1">
        <w:t>echnickou specifikaci</w:t>
      </w:r>
      <w:r w:rsidR="00B10ACB" w:rsidRPr="00DB35E1">
        <w:t xml:space="preserve"> -</w:t>
      </w:r>
      <w:r w:rsidR="008E538B" w:rsidRPr="00DB35E1">
        <w:t xml:space="preserve"> příloha </w:t>
      </w:r>
      <w:proofErr w:type="gramStart"/>
      <w:r w:rsidR="008E538B" w:rsidRPr="00DB35E1">
        <w:t>č.1</w:t>
      </w:r>
      <w:proofErr w:type="gramEnd"/>
    </w:p>
    <w:p w:rsidR="009A5FC5" w:rsidRPr="00DB35E1" w:rsidRDefault="00B10ACB" w:rsidP="008E538B">
      <w:pPr>
        <w:numPr>
          <w:ilvl w:val="0"/>
          <w:numId w:val="20"/>
        </w:numPr>
      </w:pPr>
      <w:r w:rsidRPr="00DB35E1">
        <w:t xml:space="preserve">Seznam vybavení autobusů - </w:t>
      </w:r>
      <w:r w:rsidR="002E05D8" w:rsidRPr="00DB35E1">
        <w:t>příloha č. 2</w:t>
      </w:r>
    </w:p>
    <w:p w:rsidR="00D20ADF" w:rsidRDefault="006B2F78" w:rsidP="006B2F78">
      <w:pPr>
        <w:pStyle w:val="Odstavecseseznamem"/>
        <w:numPr>
          <w:ilvl w:val="0"/>
          <w:numId w:val="20"/>
        </w:numPr>
      </w:pPr>
      <w:r w:rsidRPr="006B2F78">
        <w:t>Roz</w:t>
      </w:r>
      <w:r w:rsidR="00657C68">
        <w:t xml:space="preserve">počet nákladů </w:t>
      </w:r>
      <w:r w:rsidR="00B10ACB" w:rsidRPr="00DB35E1">
        <w:t xml:space="preserve"> -</w:t>
      </w:r>
      <w:r w:rsidR="00D20ADF" w:rsidRPr="00DB35E1">
        <w:t xml:space="preserve"> příloha č. 3</w:t>
      </w:r>
    </w:p>
    <w:p w:rsidR="00F35EE7" w:rsidRDefault="00F35EE7" w:rsidP="008E538B">
      <w:pPr>
        <w:numPr>
          <w:ilvl w:val="0"/>
          <w:numId w:val="20"/>
        </w:numPr>
      </w:pPr>
      <w:r>
        <w:t>Specifikace technických požadavků na odbavovací systém pro případný vstup do VDV (IDS) kraje Vysočina – příloha č. 4</w:t>
      </w:r>
    </w:p>
    <w:p w:rsidR="00F35EE7" w:rsidRPr="00DB35E1" w:rsidRDefault="003354AC" w:rsidP="008E538B">
      <w:pPr>
        <w:numPr>
          <w:ilvl w:val="0"/>
          <w:numId w:val="20"/>
        </w:numPr>
      </w:pPr>
      <w:r>
        <w:t>Smluvní přepravní podmínky – příloha č. 5</w:t>
      </w:r>
    </w:p>
    <w:p w:rsidR="002B511D" w:rsidRPr="00DB35E1" w:rsidRDefault="00CB5F4B" w:rsidP="002B511D">
      <w:pPr>
        <w:numPr>
          <w:ilvl w:val="0"/>
          <w:numId w:val="20"/>
        </w:numPr>
      </w:pPr>
      <w:r>
        <w:t>Tarif platný od 10. 2. 2015 – příloha č. 6</w:t>
      </w:r>
    </w:p>
    <w:p w:rsidR="0050032B" w:rsidRPr="00DB35E1" w:rsidRDefault="0050032B" w:rsidP="0050032B"/>
    <w:p w:rsidR="0050032B" w:rsidRPr="00DB35E1" w:rsidRDefault="0050032B" w:rsidP="0050032B">
      <w:pPr>
        <w:widowControl w:val="0"/>
        <w:rPr>
          <w:rFonts w:cs="Arial"/>
          <w:b/>
          <w:snapToGrid w:val="0"/>
          <w:u w:val="single"/>
        </w:rPr>
      </w:pPr>
      <w:r w:rsidRPr="00DB35E1">
        <w:rPr>
          <w:rFonts w:cs="Arial"/>
          <w:b/>
          <w:snapToGrid w:val="0"/>
          <w:u w:val="single"/>
        </w:rPr>
        <w:t>Vysvětlení zadávací dokumentace:</w:t>
      </w:r>
    </w:p>
    <w:p w:rsidR="0050032B" w:rsidRPr="00DB35E1" w:rsidRDefault="0050032B" w:rsidP="0050032B">
      <w:pPr>
        <w:rPr>
          <w:rFonts w:eastAsia="Calibri" w:cs="Arial"/>
          <w:spacing w:val="0"/>
        </w:rPr>
      </w:pPr>
    </w:p>
    <w:p w:rsidR="0050032B" w:rsidRDefault="0050032B" w:rsidP="0050032B">
      <w:pPr>
        <w:rPr>
          <w:rFonts w:eastAsia="Calibri" w:cs="Arial"/>
          <w:color w:val="000000"/>
          <w:spacing w:val="0"/>
        </w:rPr>
      </w:pPr>
      <w:r w:rsidRPr="00DB35E1">
        <w:rPr>
          <w:rFonts w:eastAsia="Calibri" w:cs="Arial"/>
          <w:spacing w:val="0"/>
        </w:rPr>
        <w:t>Dodavatel je oprávněn požádat zadavatele o vysvětlení zadávací dokumentace</w:t>
      </w:r>
      <w:r w:rsidR="000F1D46" w:rsidRPr="00DB35E1">
        <w:rPr>
          <w:rFonts w:eastAsia="Calibri" w:cs="Arial"/>
          <w:spacing w:val="0"/>
        </w:rPr>
        <w:t>, pouze však písemnou formou, nikoli jinak</w:t>
      </w:r>
      <w:r w:rsidRPr="00DB35E1">
        <w:rPr>
          <w:rFonts w:eastAsia="Calibri" w:cs="Arial"/>
          <w:spacing w:val="0"/>
        </w:rPr>
        <w:t>. Písemná žádost dodavatele musí být doru</w:t>
      </w:r>
      <w:r>
        <w:rPr>
          <w:rFonts w:eastAsia="Calibri" w:cs="Arial"/>
          <w:color w:val="000000"/>
          <w:spacing w:val="0"/>
        </w:rPr>
        <w:t xml:space="preserve">čena zadavateli na emailovou adresu </w:t>
      </w:r>
      <w:hyperlink r:id="rId10" w:history="1">
        <w:r w:rsidRPr="005D579F">
          <w:rPr>
            <w:rStyle w:val="Hypertextovodkaz"/>
            <w:rFonts w:eastAsia="Calibri" w:cs="Arial"/>
            <w:spacing w:val="0"/>
          </w:rPr>
          <w:t>lhepner@tshb.cz</w:t>
        </w:r>
      </w:hyperlink>
      <w:r>
        <w:rPr>
          <w:rFonts w:eastAsia="Calibri" w:cs="Arial"/>
          <w:color w:val="000000"/>
          <w:spacing w:val="0"/>
        </w:rPr>
        <w:t xml:space="preserve"> nejpozději 5 pracovních dnů před uplynutím lhůty pro podání nabídek.</w:t>
      </w:r>
    </w:p>
    <w:p w:rsidR="0050032B" w:rsidRDefault="0050032B" w:rsidP="0050032B">
      <w:pPr>
        <w:rPr>
          <w:rFonts w:eastAsia="Calibri" w:cs="Arial"/>
          <w:color w:val="000000"/>
          <w:spacing w:val="0"/>
        </w:rPr>
      </w:pPr>
    </w:p>
    <w:p w:rsidR="0050032B" w:rsidRPr="00A07A4B" w:rsidRDefault="0050032B" w:rsidP="0050032B">
      <w:r w:rsidRPr="0050032B">
        <w:t>Zadavatel vysvětlení zadávací dokumentace, případně související dokumenty, uveřejní na profilu zadavatele vč. přesného znění žádosti bez identifikace dodavatele nejpozději do 3 pracovních dnů ode dne doručení písemné žádosti dodavatele.</w:t>
      </w:r>
    </w:p>
    <w:p w:rsidR="0050032B" w:rsidRDefault="0050032B" w:rsidP="0050032B"/>
    <w:p w:rsidR="0050032B" w:rsidRDefault="0050032B" w:rsidP="0050032B">
      <w:r w:rsidRPr="0050032B">
        <w:t>Zadavatel může zadávací dokumentaci vysvětlit i bez předchozí žádosti dodavatele.</w:t>
      </w:r>
    </w:p>
    <w:p w:rsidR="0050032B" w:rsidRDefault="0050032B" w:rsidP="0050032B"/>
    <w:p w:rsidR="00962CA3" w:rsidRDefault="00962CA3" w:rsidP="00962CA3">
      <w:pPr>
        <w:widowControl w:val="0"/>
        <w:rPr>
          <w:rFonts w:cs="Arial"/>
          <w:b/>
          <w:snapToGrid w:val="0"/>
          <w:u w:val="single"/>
        </w:rPr>
      </w:pPr>
      <w:r w:rsidRPr="00962CA3">
        <w:rPr>
          <w:rFonts w:cs="Arial"/>
          <w:b/>
          <w:snapToGrid w:val="0"/>
          <w:u w:val="single"/>
        </w:rPr>
        <w:t>Doba a místo plnění:</w:t>
      </w:r>
    </w:p>
    <w:p w:rsidR="00E53B30" w:rsidRPr="00962CA3" w:rsidRDefault="00E53B30" w:rsidP="00962CA3">
      <w:pPr>
        <w:widowControl w:val="0"/>
        <w:rPr>
          <w:rFonts w:cs="Arial"/>
          <w:b/>
          <w:snapToGrid w:val="0"/>
          <w:u w:val="single"/>
        </w:rPr>
      </w:pPr>
    </w:p>
    <w:p w:rsidR="008E538B" w:rsidRPr="00DB35E1" w:rsidRDefault="008E538B" w:rsidP="008E538B">
      <w:pPr>
        <w:widowControl w:val="0"/>
        <w:autoSpaceDE w:val="0"/>
        <w:autoSpaceDN w:val="0"/>
        <w:rPr>
          <w:rFonts w:cs="Arial"/>
        </w:rPr>
      </w:pPr>
      <w:r w:rsidRPr="001168FF">
        <w:rPr>
          <w:rFonts w:cs="Arial"/>
        </w:rPr>
        <w:t>doba plnění:</w:t>
      </w:r>
      <w:r w:rsidR="002E05D8">
        <w:rPr>
          <w:rFonts w:cs="Arial"/>
        </w:rPr>
        <w:tab/>
      </w:r>
      <w:r w:rsidR="002B083C">
        <w:rPr>
          <w:rFonts w:cs="Arial"/>
        </w:rPr>
        <w:t>do čtyř</w:t>
      </w:r>
      <w:r w:rsidR="007A4F03" w:rsidRPr="00DB35E1">
        <w:rPr>
          <w:rFonts w:cs="Arial"/>
        </w:rPr>
        <w:t xml:space="preserve"> měsíců</w:t>
      </w:r>
      <w:r w:rsidR="002E05D8" w:rsidRPr="00DB35E1">
        <w:rPr>
          <w:rFonts w:cs="Arial"/>
        </w:rPr>
        <w:t xml:space="preserve"> </w:t>
      </w:r>
      <w:r w:rsidRPr="00DB35E1">
        <w:rPr>
          <w:rFonts w:cs="Arial"/>
        </w:rPr>
        <w:t>po podpisu kupní smlouvy</w:t>
      </w:r>
    </w:p>
    <w:p w:rsidR="008E538B" w:rsidRPr="00DB35E1" w:rsidRDefault="008E538B" w:rsidP="008E538B">
      <w:pPr>
        <w:widowControl w:val="0"/>
        <w:autoSpaceDE w:val="0"/>
        <w:autoSpaceDN w:val="0"/>
        <w:rPr>
          <w:snapToGrid w:val="0"/>
        </w:rPr>
      </w:pPr>
    </w:p>
    <w:p w:rsidR="008E538B" w:rsidRPr="00DB35E1" w:rsidRDefault="008E538B" w:rsidP="008E538B">
      <w:pPr>
        <w:rPr>
          <w:rFonts w:cs="Arial"/>
        </w:rPr>
      </w:pPr>
      <w:r w:rsidRPr="00DB35E1">
        <w:rPr>
          <w:rFonts w:cs="Arial"/>
        </w:rPr>
        <w:t>místo plnění:</w:t>
      </w:r>
      <w:r w:rsidRPr="00DB35E1">
        <w:rPr>
          <w:rFonts w:cs="Arial"/>
        </w:rPr>
        <w:tab/>
        <w:t>areál Tech</w:t>
      </w:r>
      <w:r w:rsidR="002E05D8" w:rsidRPr="00DB35E1">
        <w:rPr>
          <w:rFonts w:cs="Arial"/>
        </w:rPr>
        <w:t>nických služeb</w:t>
      </w:r>
      <w:r w:rsidRPr="00DB35E1">
        <w:rPr>
          <w:rFonts w:cs="Arial"/>
        </w:rPr>
        <w:t>,</w:t>
      </w:r>
      <w:r w:rsidR="002E05D8" w:rsidRPr="00DB35E1">
        <w:rPr>
          <w:rFonts w:cs="Arial"/>
        </w:rPr>
        <w:t xml:space="preserve"> Reynkova 2886,</w:t>
      </w:r>
      <w:r w:rsidRPr="00DB35E1">
        <w:rPr>
          <w:rFonts w:cs="Arial"/>
        </w:rPr>
        <w:t xml:space="preserve"> 580 01 Havlíčkův Brod</w:t>
      </w:r>
    </w:p>
    <w:p w:rsidR="00E53B30" w:rsidRDefault="00E53B30" w:rsidP="00962CA3">
      <w:pPr>
        <w:rPr>
          <w:rFonts w:cs="Arial"/>
        </w:rPr>
      </w:pPr>
    </w:p>
    <w:p w:rsidR="00962CA3" w:rsidRPr="00962CA3" w:rsidRDefault="00962CA3" w:rsidP="00962CA3">
      <w:pPr>
        <w:widowControl w:val="0"/>
        <w:rPr>
          <w:rFonts w:cs="Arial"/>
          <w:b/>
          <w:snapToGrid w:val="0"/>
          <w:u w:val="single"/>
        </w:rPr>
      </w:pPr>
      <w:r w:rsidRPr="00962CA3">
        <w:rPr>
          <w:rFonts w:cs="Arial"/>
          <w:b/>
          <w:snapToGrid w:val="0"/>
          <w:u w:val="single"/>
        </w:rPr>
        <w:lastRenderedPageBreak/>
        <w:t>Obchodní podmínky:</w:t>
      </w:r>
    </w:p>
    <w:p w:rsidR="00962CA3" w:rsidRPr="00962CA3" w:rsidRDefault="00962CA3" w:rsidP="00962CA3">
      <w:pPr>
        <w:rPr>
          <w:rFonts w:cs="Arial"/>
        </w:rPr>
      </w:pPr>
      <w:r w:rsidRPr="00962CA3">
        <w:rPr>
          <w:rFonts w:cs="Arial"/>
        </w:rPr>
        <w:t>Uchazeč předloží jako součást nabídky návrh smlouvy o dílo. V návrhu smlouvy uchaze</w:t>
      </w:r>
      <w:r w:rsidR="00CA135C">
        <w:rPr>
          <w:rFonts w:cs="Arial"/>
        </w:rPr>
        <w:t>č doplní veškeré chybějící údaje,</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Pr="00DB35E1" w:rsidRDefault="0090072D" w:rsidP="0090072D">
      <w:r>
        <w:t xml:space="preserve">Lhůta pro podání nabídek se </w:t>
      </w:r>
      <w:r w:rsidRPr="00514ACA">
        <w:t>stanovuj</w:t>
      </w:r>
      <w:r w:rsidRPr="00DB35E1">
        <w:t xml:space="preserve">e </w:t>
      </w:r>
      <w:r w:rsidR="001D02C5">
        <w:rPr>
          <w:b/>
        </w:rPr>
        <w:t>do …………………………………………</w:t>
      </w:r>
      <w:r w:rsidR="00FE52A6" w:rsidRPr="00DB35E1">
        <w:rPr>
          <w:b/>
        </w:rPr>
        <w:t>hodin</w:t>
      </w:r>
      <w:r w:rsidRPr="00DB35E1">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 xml:space="preserve">Nabídky mohou být podány pouze v českém jazyce. Doklady mohou být předloženy též v jiném jazyce s překladem do českého jazyka. Doklady ve slovenském jazyce a doklady o vzdělání </w:t>
      </w:r>
      <w:r w:rsidR="00CA135C">
        <w:t xml:space="preserve">v </w:t>
      </w:r>
      <w:r w:rsidRPr="00864C1E">
        <w:t>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2E05D8" w:rsidRPr="002E05D8">
        <w:rPr>
          <w:b/>
        </w:rPr>
        <w:t>Dodávka odbavovacího a informačního systému pro vozidla a kanceláře MHD s přípravou pro vstup do IDS (VDV) kraje Vyso</w:t>
      </w:r>
      <w:r w:rsidR="001D02C5">
        <w:rPr>
          <w:b/>
        </w:rPr>
        <w:t>čina</w:t>
      </w:r>
      <w:r w:rsidR="002E05D8" w:rsidRPr="00DB35E1">
        <w:rPr>
          <w:b/>
        </w:rPr>
        <w:t xml:space="preserve"> </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7A4F03" w:rsidP="00423427">
      <w:r>
        <w:t>Potencionální dodavatel se může</w:t>
      </w:r>
      <w:r w:rsidR="00CB5FBD">
        <w:t xml:space="preserve"> seznámit s vybavením zákazníka</w:t>
      </w:r>
      <w:r>
        <w:t xml:space="preserve"> v místě plnění, svůj úmysl musí na</w:t>
      </w:r>
      <w:r w:rsidR="00CB5FBD">
        <w:t xml:space="preserve">hlásit minimálně tři dny předem na e- mailovou adresu </w:t>
      </w:r>
      <w:hyperlink r:id="rId11" w:history="1">
        <w:r w:rsidR="00CB5FBD" w:rsidRPr="00AE6B2F">
          <w:rPr>
            <w:rStyle w:val="Hypertextovodkaz"/>
          </w:rPr>
          <w:t>lhepner@tshb.cz</w:t>
        </w:r>
      </w:hyperlink>
      <w:r w:rsidR="00CB5FBD">
        <w:t xml:space="preserve"> nebo telefonicky na č. 724 069207. Kontaktní osobou je vedoucí MHD, MTZ, DT pan Lubomír Hepner.</w:t>
      </w:r>
    </w:p>
    <w:p w:rsidR="006B1987" w:rsidRDefault="006B1987" w:rsidP="006B1987"/>
    <w:p w:rsidR="006B1987" w:rsidRDefault="006B1987" w:rsidP="006B1987">
      <w:pPr>
        <w:rPr>
          <w:rFonts w:ascii="Calibri" w:hAnsi="Calibri"/>
          <w:b/>
          <w:bCs/>
          <w:spacing w:val="0"/>
          <w:u w:val="single"/>
        </w:rPr>
      </w:pPr>
      <w:r>
        <w:rPr>
          <w:b/>
          <w:bCs/>
          <w:u w:val="single"/>
        </w:rPr>
        <w:t>Mimořádně nízká nabídková cena:</w:t>
      </w:r>
    </w:p>
    <w:p w:rsidR="006B1987" w:rsidRDefault="006B1987" w:rsidP="006B1987">
      <w:r>
        <w:t xml:space="preserve">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 </w:t>
      </w:r>
    </w:p>
    <w:p w:rsidR="006B1987" w:rsidRDefault="006B1987" w:rsidP="006B1987">
      <w:r>
        <w:t>Zadavatel je oprávněn uchazeče, který takovou nabídku podal, požádat o vysvětlení tak, aby bylo zřejmé, že je zakázku schopný zrealizovat. Pokud to nevysvětlí, je zadavatel oprávněn ho z výběrového řízení vyloučit.</w:t>
      </w:r>
    </w:p>
    <w:p w:rsidR="00423427" w:rsidRPr="00D5606C" w:rsidRDefault="00423427" w:rsidP="00423427"/>
    <w:p w:rsidR="00FF35AB" w:rsidRPr="00DB35E1" w:rsidRDefault="00FF35AB" w:rsidP="00FF35AB">
      <w:pPr>
        <w:rPr>
          <w:b/>
          <w:u w:val="single"/>
        </w:rPr>
      </w:pPr>
      <w:r w:rsidRPr="00DB35E1">
        <w:rPr>
          <w:b/>
          <w:u w:val="single"/>
        </w:rPr>
        <w:t>Maximální nabídková cena:</w:t>
      </w:r>
    </w:p>
    <w:p w:rsidR="007A4F03" w:rsidRPr="00DB35E1" w:rsidRDefault="007A4F03" w:rsidP="00423427">
      <w:r w:rsidRPr="00DB35E1">
        <w:t>Horní hranice nabídkové ceny není stanovena.</w:t>
      </w:r>
    </w:p>
    <w:p w:rsidR="0087501B" w:rsidRPr="0087501B" w:rsidRDefault="0087501B" w:rsidP="0087501B">
      <w:pPr>
        <w:rPr>
          <w:b/>
          <w:u w:val="single"/>
        </w:rPr>
      </w:pPr>
      <w:r w:rsidRPr="0087501B">
        <w:rPr>
          <w:b/>
          <w:bCs/>
          <w:u w:val="single"/>
        </w:rPr>
        <w:t xml:space="preserve"> </w:t>
      </w:r>
    </w:p>
    <w:p w:rsidR="0087501B" w:rsidRDefault="0087501B" w:rsidP="0087501B">
      <w:pPr>
        <w:rPr>
          <w:rFonts w:ascii="Calibri" w:hAnsi="Calibri"/>
          <w:b/>
          <w:bCs/>
          <w:spacing w:val="0"/>
          <w:u w:val="single"/>
        </w:rPr>
      </w:pPr>
      <w:r>
        <w:rPr>
          <w:b/>
          <w:bCs/>
          <w:u w:val="single"/>
        </w:rPr>
        <w:t>Jistota:</w:t>
      </w:r>
    </w:p>
    <w:p w:rsidR="0087501B" w:rsidRDefault="0087501B" w:rsidP="0087501B">
      <w:r>
        <w:t>Zadavatel požaduje, aby účastník zadávacího řízení poskytl ve lhůtě pro podání nabídek jistotu ve výši 30 000,- Kč. Způsob poskytování a vrácení jistoty se řídí ustanovením § 41 zákona č.134/2016 Sb., o zadávání veřejných zakázek.</w:t>
      </w:r>
    </w:p>
    <w:p w:rsidR="00423427" w:rsidRPr="00DB35E1" w:rsidRDefault="00423427" w:rsidP="00423427">
      <w:pPr>
        <w:rPr>
          <w:rFonts w:cs="Arial"/>
        </w:rPr>
      </w:pPr>
    </w:p>
    <w:p w:rsidR="00423427" w:rsidRPr="00DB35E1" w:rsidRDefault="00423427" w:rsidP="00423427">
      <w:pPr>
        <w:rPr>
          <w:b/>
          <w:szCs w:val="22"/>
          <w:u w:val="single"/>
        </w:rPr>
      </w:pPr>
      <w:r w:rsidRPr="00DB35E1">
        <w:rPr>
          <w:b/>
          <w:szCs w:val="22"/>
          <w:u w:val="single"/>
        </w:rPr>
        <w:t>Využití poddodavatele:</w:t>
      </w:r>
    </w:p>
    <w:p w:rsidR="00423427" w:rsidRPr="00DB35E1" w:rsidRDefault="00423427" w:rsidP="00423427">
      <w:pPr>
        <w:rPr>
          <w:szCs w:val="22"/>
        </w:rPr>
      </w:pPr>
      <w:r w:rsidRPr="00DB35E1">
        <w:rPr>
          <w:szCs w:val="22"/>
        </w:rPr>
        <w:t>Zadavatel požaduje, aby účastník v nabídce předložil seznam poddodavatelů, pokud jsou účastníkovi zadávacího řízení známi, a uvedl, kterou část veřejné zakázky bude každý z poddodavatelů plnit.</w:t>
      </w:r>
    </w:p>
    <w:p w:rsidR="00423427" w:rsidRPr="00DB35E1" w:rsidRDefault="00423427" w:rsidP="00423427">
      <w:pPr>
        <w:rPr>
          <w:b/>
          <w:bCs/>
          <w:szCs w:val="22"/>
        </w:rPr>
      </w:pPr>
    </w:p>
    <w:p w:rsidR="00423427" w:rsidRPr="00DB35E1" w:rsidRDefault="00423427" w:rsidP="00423427">
      <w:pPr>
        <w:widowControl w:val="0"/>
        <w:rPr>
          <w:rFonts w:cs="Arial"/>
          <w:b/>
          <w:snapToGrid w:val="0"/>
          <w:szCs w:val="22"/>
          <w:u w:val="single"/>
        </w:rPr>
      </w:pPr>
      <w:r w:rsidRPr="00DB35E1">
        <w:rPr>
          <w:rFonts w:cs="Arial"/>
          <w:b/>
          <w:snapToGrid w:val="0"/>
          <w:szCs w:val="22"/>
          <w:u w:val="single"/>
        </w:rPr>
        <w:t>Pravidla pro hodnocení nabídek:</w:t>
      </w:r>
    </w:p>
    <w:p w:rsidR="00FF35AB" w:rsidRPr="00DB35E1" w:rsidRDefault="00FF35AB" w:rsidP="00FF35AB">
      <w:pPr>
        <w:widowControl w:val="0"/>
        <w:rPr>
          <w:rFonts w:cs="Arial"/>
          <w:snapToGrid w:val="0"/>
          <w:szCs w:val="22"/>
        </w:rPr>
      </w:pPr>
      <w:r w:rsidRPr="00DB35E1">
        <w:rPr>
          <w:rFonts w:cs="Arial"/>
          <w:snapToGrid w:val="0"/>
          <w:szCs w:val="22"/>
        </w:rPr>
        <w:t>V rámci hodnocení nabídek budou použity informace a údaje (které jsou předmětem hodnocení), uvedené v krycím listu nabídky. Tyto údaje nesmí být v rozporu s údaji uvedenými v návrzích smluv účastníka zadávacího řízení.</w:t>
      </w:r>
    </w:p>
    <w:p w:rsidR="00A87A2F" w:rsidRPr="00DB35E1" w:rsidRDefault="00A87A2F" w:rsidP="00FF35AB">
      <w:pPr>
        <w:widowControl w:val="0"/>
        <w:rPr>
          <w:rFonts w:cs="Arial"/>
          <w:snapToGrid w:val="0"/>
          <w:szCs w:val="22"/>
        </w:rPr>
      </w:pPr>
    </w:p>
    <w:p w:rsidR="00A87A2F" w:rsidRPr="00DB35E1" w:rsidRDefault="00A87A2F" w:rsidP="008C2735">
      <w:pPr>
        <w:widowControl w:val="0"/>
        <w:ind w:left="708" w:firstLine="708"/>
        <w:rPr>
          <w:rFonts w:cs="Arial"/>
          <w:snapToGrid w:val="0"/>
          <w:szCs w:val="22"/>
        </w:rPr>
      </w:pPr>
      <w:r w:rsidRPr="00DB35E1">
        <w:rPr>
          <w:rFonts w:cs="Arial"/>
          <w:snapToGrid w:val="0"/>
          <w:szCs w:val="22"/>
        </w:rPr>
        <w:t xml:space="preserve"> kritérií:</w:t>
      </w:r>
    </w:p>
    <w:p w:rsidR="00723AFD" w:rsidRPr="00A87A2F" w:rsidRDefault="00723AFD" w:rsidP="00A87A2F">
      <w:pPr>
        <w:widowControl w:val="0"/>
        <w:rPr>
          <w:rFonts w:cs="Arial"/>
          <w:snapToGrid w:val="0"/>
          <w:color w:val="FF0000"/>
          <w:szCs w:val="22"/>
        </w:rPr>
      </w:pPr>
    </w:p>
    <w:p w:rsidR="00A87A2F" w:rsidRDefault="00A87A2F" w:rsidP="00A87A2F">
      <w:pPr>
        <w:widowControl w:val="0"/>
        <w:rPr>
          <w:rFonts w:cs="Arial"/>
          <w:snapToGrid w:val="0"/>
          <w:szCs w:val="22"/>
        </w:rPr>
      </w:pPr>
      <w:r w:rsidRPr="00DB35E1">
        <w:rPr>
          <w:rFonts w:cs="Arial"/>
          <w:snapToGrid w:val="0"/>
          <w:szCs w:val="22"/>
        </w:rPr>
        <w:t>Dílčí kritéria</w:t>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t xml:space="preserve">   </w:t>
      </w:r>
      <w:r w:rsidRPr="00DB35E1">
        <w:rPr>
          <w:rFonts w:cs="Arial"/>
          <w:snapToGrid w:val="0"/>
          <w:szCs w:val="22"/>
        </w:rPr>
        <w:t>Váhy v %</w:t>
      </w:r>
    </w:p>
    <w:p w:rsidR="004B06C3" w:rsidRPr="00DB35E1" w:rsidRDefault="004B06C3"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1.</w:t>
      </w:r>
      <w:r w:rsidRPr="00DB35E1">
        <w:rPr>
          <w:rFonts w:cs="Arial"/>
          <w:snapToGrid w:val="0"/>
          <w:szCs w:val="22"/>
        </w:rPr>
        <w:tab/>
      </w:r>
      <w:r w:rsidR="004B06C3">
        <w:rPr>
          <w:rFonts w:cs="Arial"/>
          <w:snapToGrid w:val="0"/>
          <w:szCs w:val="22"/>
        </w:rPr>
        <w:t>Nabídková cena – cena za dodávku</w:t>
      </w:r>
      <w:r w:rsidR="004B06C3">
        <w:rPr>
          <w:rFonts w:cs="Arial"/>
          <w:snapToGrid w:val="0"/>
          <w:szCs w:val="22"/>
        </w:rPr>
        <w:tab/>
      </w:r>
      <w:r w:rsidR="004B06C3">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4B06C3">
        <w:rPr>
          <w:rFonts w:cs="Arial"/>
          <w:snapToGrid w:val="0"/>
          <w:szCs w:val="22"/>
        </w:rPr>
        <w:t>4</w:t>
      </w:r>
      <w:r w:rsidRPr="00DB35E1">
        <w:rPr>
          <w:rFonts w:cs="Arial"/>
          <w:snapToGrid w:val="0"/>
          <w:szCs w:val="22"/>
        </w:rPr>
        <w:t>0</w:t>
      </w:r>
    </w:p>
    <w:p w:rsidR="00A87A2F" w:rsidRPr="00DB35E1" w:rsidRDefault="00C84B4D" w:rsidP="00A87A2F">
      <w:pPr>
        <w:widowControl w:val="0"/>
        <w:rPr>
          <w:rFonts w:cs="Arial"/>
          <w:snapToGrid w:val="0"/>
          <w:szCs w:val="22"/>
        </w:rPr>
      </w:pPr>
      <w:r w:rsidRPr="00DB35E1">
        <w:rPr>
          <w:rFonts w:cs="Arial"/>
          <w:snapToGrid w:val="0"/>
          <w:szCs w:val="22"/>
        </w:rPr>
        <w:t>2.</w:t>
      </w:r>
      <w:r w:rsidRPr="00DB35E1">
        <w:rPr>
          <w:rFonts w:cs="Arial"/>
          <w:snapToGrid w:val="0"/>
          <w:szCs w:val="22"/>
        </w:rPr>
        <w:tab/>
        <w:t>P</w:t>
      </w:r>
      <w:r w:rsidR="004B06C3">
        <w:rPr>
          <w:rFonts w:cs="Arial"/>
          <w:snapToGrid w:val="0"/>
          <w:szCs w:val="22"/>
        </w:rPr>
        <w:t>rovozní náklady na 1 rok</w:t>
      </w:r>
      <w:r w:rsidR="004B06C3">
        <w:rPr>
          <w:rFonts w:cs="Arial"/>
          <w:snapToGrid w:val="0"/>
          <w:szCs w:val="22"/>
        </w:rPr>
        <w:tab/>
      </w:r>
      <w:r w:rsidR="004B06C3">
        <w:rPr>
          <w:rFonts w:cs="Arial"/>
          <w:snapToGrid w:val="0"/>
          <w:szCs w:val="22"/>
        </w:rPr>
        <w:tab/>
      </w:r>
      <w:r w:rsidR="004B06C3">
        <w:rPr>
          <w:rFonts w:cs="Arial"/>
          <w:snapToGrid w:val="0"/>
          <w:szCs w:val="22"/>
        </w:rPr>
        <w:tab/>
      </w:r>
      <w:r w:rsidR="004B06C3">
        <w:rPr>
          <w:rFonts w:cs="Arial"/>
          <w:snapToGrid w:val="0"/>
          <w:szCs w:val="22"/>
        </w:rPr>
        <w:tab/>
      </w:r>
      <w:r w:rsidR="004B06C3">
        <w:rPr>
          <w:rFonts w:cs="Arial"/>
          <w:snapToGrid w:val="0"/>
          <w:szCs w:val="22"/>
        </w:rPr>
        <w:tab/>
      </w:r>
      <w:r w:rsidR="004B06C3">
        <w:rPr>
          <w:rFonts w:cs="Arial"/>
          <w:snapToGrid w:val="0"/>
          <w:szCs w:val="22"/>
        </w:rPr>
        <w:tab/>
        <w:t>55</w:t>
      </w:r>
    </w:p>
    <w:p w:rsidR="00A87A2F" w:rsidRPr="00DB35E1" w:rsidRDefault="004B06C3" w:rsidP="00A87A2F">
      <w:pPr>
        <w:widowControl w:val="0"/>
        <w:rPr>
          <w:rFonts w:cs="Arial"/>
          <w:snapToGrid w:val="0"/>
          <w:szCs w:val="22"/>
        </w:rPr>
      </w:pPr>
      <w:r>
        <w:rPr>
          <w:rFonts w:cs="Arial"/>
          <w:snapToGrid w:val="0"/>
          <w:szCs w:val="22"/>
        </w:rPr>
        <w:t>3</w:t>
      </w:r>
      <w:r w:rsidR="00A87A2F" w:rsidRPr="00DB35E1">
        <w:rPr>
          <w:rFonts w:cs="Arial"/>
          <w:snapToGrid w:val="0"/>
          <w:szCs w:val="22"/>
        </w:rPr>
        <w:t>.</w:t>
      </w:r>
      <w:r w:rsidR="00A87A2F" w:rsidRPr="00DB35E1">
        <w:rPr>
          <w:rFonts w:cs="Arial"/>
          <w:snapToGrid w:val="0"/>
          <w:szCs w:val="22"/>
        </w:rPr>
        <w:tab/>
      </w:r>
      <w:bookmarkStart w:id="0" w:name="_Hlk45291090"/>
      <w:r w:rsidR="00A87A2F" w:rsidRPr="00DB35E1">
        <w:rPr>
          <w:rFonts w:cs="Arial"/>
          <w:snapToGrid w:val="0"/>
          <w:szCs w:val="22"/>
        </w:rPr>
        <w:t xml:space="preserve">Hodinová sazba </w:t>
      </w:r>
      <w:r w:rsidR="00175B7A" w:rsidRPr="00175B7A">
        <w:rPr>
          <w:rFonts w:cs="Arial"/>
          <w:snapToGrid w:val="0"/>
          <w:szCs w:val="22"/>
        </w:rPr>
        <w:t>pozáruční</w:t>
      </w:r>
      <w:r w:rsidR="00175B7A">
        <w:rPr>
          <w:rFonts w:cs="Arial"/>
          <w:snapToGrid w:val="0"/>
          <w:szCs w:val="22"/>
        </w:rPr>
        <w:t xml:space="preserve">ho a </w:t>
      </w:r>
      <w:r w:rsidR="00A87A2F" w:rsidRPr="00DB35E1">
        <w:rPr>
          <w:rFonts w:cs="Arial"/>
          <w:snapToGrid w:val="0"/>
          <w:szCs w:val="22"/>
        </w:rPr>
        <w:t>mimozáručního servisu</w:t>
      </w:r>
      <w:r w:rsidR="00723AFD" w:rsidRPr="00DB35E1">
        <w:rPr>
          <w:rFonts w:cs="Arial"/>
          <w:snapToGrid w:val="0"/>
          <w:szCs w:val="22"/>
        </w:rPr>
        <w:tab/>
      </w:r>
      <w:bookmarkEnd w:id="0"/>
      <w:r w:rsidR="00723AFD" w:rsidRPr="00DB35E1">
        <w:rPr>
          <w:rFonts w:cs="Arial"/>
          <w:snapToGrid w:val="0"/>
          <w:szCs w:val="22"/>
        </w:rPr>
        <w:tab/>
      </w:r>
      <w:r w:rsidR="00723AFD" w:rsidRPr="00DB35E1">
        <w:rPr>
          <w:rFonts w:cs="Arial"/>
          <w:snapToGrid w:val="0"/>
          <w:szCs w:val="22"/>
        </w:rPr>
        <w:tab/>
      </w:r>
      <w:r w:rsidR="00C84B4D" w:rsidRPr="00DB35E1">
        <w:rPr>
          <w:rFonts w:cs="Arial"/>
          <w:snapToGrid w:val="0"/>
          <w:szCs w:val="22"/>
        </w:rPr>
        <w:t xml:space="preserve">  </w:t>
      </w:r>
      <w:r w:rsidR="00A87A2F" w:rsidRPr="00DB35E1">
        <w:rPr>
          <w:rFonts w:cs="Arial"/>
          <w:snapToGrid w:val="0"/>
          <w:szCs w:val="22"/>
        </w:rPr>
        <w:t>5</w:t>
      </w:r>
    </w:p>
    <w:p w:rsidR="00C84B4D" w:rsidRPr="00DB35E1" w:rsidRDefault="00C84B4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Specifika a způsob hodnocení jednotlivých dílčích kritérií:</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a) Nabídková cena (číselné kritérium)</w:t>
      </w:r>
    </w:p>
    <w:p w:rsidR="003220B2" w:rsidRPr="00DB35E1" w:rsidRDefault="003220B2"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Za účelem hodnocení nabídek v kritériu dle výše nabídkové ceny zpracují uchazeči nabídkovou cenu způsobem uvedeným v</w:t>
      </w:r>
      <w:r w:rsidR="003220B2" w:rsidRPr="00DB35E1">
        <w:rPr>
          <w:rFonts w:cs="Arial"/>
          <w:snapToGrid w:val="0"/>
          <w:szCs w:val="22"/>
        </w:rPr>
        <w:t> Krycím listu nabídky – položka „Nabídková cena (bez integrace do VDV v Kč bez DPH)“</w:t>
      </w:r>
      <w:r w:rsidRPr="00DB35E1">
        <w:rPr>
          <w:rFonts w:cs="Arial"/>
          <w:snapToGrid w:val="0"/>
          <w:szCs w:val="22"/>
        </w:rPr>
        <w:t>.</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Pro číselně vyjádřitelné kritérium, pro které má nejvhodnější nabídka minimální hodnotu kritéria, získá hodnocená nabídka bodovou hodnotu, která vznikla násobkem 100 a poměru hodnoty nejvhodnější nabídky k hodnocené nabídce, tj.</w:t>
      </w:r>
    </w:p>
    <w:p w:rsidR="00A87A2F" w:rsidRPr="00DB35E1" w:rsidRDefault="00A87A2F" w:rsidP="00A87A2F">
      <w:pPr>
        <w:widowControl w:val="0"/>
        <w:rPr>
          <w:rFonts w:cs="Arial"/>
          <w:snapToGrid w:val="0"/>
          <w:szCs w:val="22"/>
        </w:rPr>
      </w:pPr>
      <w:r w:rsidRPr="00DB35E1">
        <w:rPr>
          <w:rFonts w:cs="Arial"/>
          <w:snapToGrid w:val="0"/>
          <w:szCs w:val="22"/>
        </w:rPr>
        <w:t xml:space="preserve">                                                Hodnota nejvhodnější nabídky</w:t>
      </w:r>
    </w:p>
    <w:p w:rsidR="00A87A2F" w:rsidRPr="00DB35E1" w:rsidRDefault="00A87A2F" w:rsidP="00A87A2F">
      <w:pPr>
        <w:widowControl w:val="0"/>
        <w:rPr>
          <w:rFonts w:cs="Arial"/>
          <w:snapToGrid w:val="0"/>
          <w:szCs w:val="22"/>
        </w:rPr>
      </w:pPr>
      <w:r w:rsidRPr="00DB35E1">
        <w:rPr>
          <w:rFonts w:cs="Arial"/>
          <w:snapToGrid w:val="0"/>
          <w:szCs w:val="22"/>
        </w:rPr>
        <w:t>počet bodů kritéria =               ---------------------------------------   x 100</w:t>
      </w:r>
    </w:p>
    <w:p w:rsidR="00A87A2F" w:rsidRPr="00DB35E1" w:rsidRDefault="00A87A2F" w:rsidP="00A87A2F">
      <w:pPr>
        <w:widowControl w:val="0"/>
        <w:rPr>
          <w:rFonts w:cs="Arial"/>
          <w:snapToGrid w:val="0"/>
          <w:szCs w:val="22"/>
        </w:rPr>
      </w:pPr>
      <w:r w:rsidRPr="00DB35E1">
        <w:rPr>
          <w:rFonts w:cs="Arial"/>
          <w:snapToGrid w:val="0"/>
          <w:szCs w:val="22"/>
        </w:rPr>
        <w:t xml:space="preserve">                                                 Hodnota hodnocené nabídky</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Při hodnocení nabídkové ceny bude rozhodná její výše bez daně z přidané hodnoty (dále jen DPH).</w:t>
      </w:r>
    </w:p>
    <w:p w:rsidR="00C84B4D" w:rsidRPr="00DB35E1" w:rsidRDefault="00C84B4D" w:rsidP="00C84B4D">
      <w:pPr>
        <w:widowControl w:val="0"/>
        <w:rPr>
          <w:rFonts w:cs="Arial"/>
          <w:snapToGrid w:val="0"/>
          <w:szCs w:val="22"/>
        </w:rPr>
      </w:pPr>
    </w:p>
    <w:p w:rsidR="00C84B4D" w:rsidRPr="00DB35E1" w:rsidRDefault="00C84B4D" w:rsidP="00C84B4D">
      <w:pPr>
        <w:widowControl w:val="0"/>
        <w:rPr>
          <w:rFonts w:cs="Arial"/>
          <w:snapToGrid w:val="0"/>
          <w:szCs w:val="22"/>
        </w:rPr>
      </w:pPr>
      <w:r w:rsidRPr="00DB35E1">
        <w:rPr>
          <w:rFonts w:cs="Arial"/>
          <w:snapToGrid w:val="0"/>
          <w:szCs w:val="22"/>
        </w:rPr>
        <w:t>b) Provozní náklady za 1 rok (číselné kritérium)</w:t>
      </w:r>
    </w:p>
    <w:p w:rsidR="00C84B4D" w:rsidRPr="00DB35E1" w:rsidRDefault="00C84B4D" w:rsidP="00C84B4D">
      <w:pPr>
        <w:widowControl w:val="0"/>
        <w:rPr>
          <w:rFonts w:cs="Arial"/>
          <w:snapToGrid w:val="0"/>
          <w:szCs w:val="22"/>
        </w:rPr>
      </w:pPr>
    </w:p>
    <w:p w:rsidR="00C84B4D" w:rsidRPr="00DB35E1" w:rsidRDefault="00C84B4D" w:rsidP="00C84B4D">
      <w:pPr>
        <w:widowControl w:val="0"/>
        <w:rPr>
          <w:rFonts w:cs="Arial"/>
          <w:snapToGrid w:val="0"/>
          <w:szCs w:val="22"/>
        </w:rPr>
      </w:pPr>
      <w:r w:rsidRPr="00DB35E1">
        <w:rPr>
          <w:rFonts w:cs="Arial"/>
          <w:snapToGrid w:val="0"/>
          <w:szCs w:val="22"/>
        </w:rPr>
        <w:t>Za účelem hodnocení nabídek v kritériu dle výše provozních nákladů za 1 rok zpracují uchazeči nabídkovou cenu způsobem uvedeným v Krycím listu nabídky – položka „Nabídková cena (bez integrace do VDV v Kč bez DPH)“.</w:t>
      </w:r>
    </w:p>
    <w:p w:rsidR="00C84B4D" w:rsidRPr="00DB35E1" w:rsidRDefault="00C84B4D" w:rsidP="00C84B4D">
      <w:pPr>
        <w:widowControl w:val="0"/>
        <w:rPr>
          <w:rFonts w:cs="Arial"/>
          <w:snapToGrid w:val="0"/>
          <w:szCs w:val="22"/>
        </w:rPr>
      </w:pPr>
    </w:p>
    <w:p w:rsidR="00C84B4D" w:rsidRPr="00DB35E1" w:rsidRDefault="00C84B4D" w:rsidP="00C84B4D">
      <w:pPr>
        <w:widowControl w:val="0"/>
        <w:rPr>
          <w:rFonts w:cs="Arial"/>
          <w:snapToGrid w:val="0"/>
          <w:szCs w:val="22"/>
        </w:rPr>
      </w:pPr>
      <w:r w:rsidRPr="00DB35E1">
        <w:rPr>
          <w:rFonts w:cs="Arial"/>
          <w:snapToGrid w:val="0"/>
          <w:szCs w:val="22"/>
        </w:rPr>
        <w:t>Pro číselně vyjádřitelné kritérium, pro které má nejvhodnější nabídka minimální hodnotu kritéria, získá hodnocená nabídka bodovou hodnotu, která vznikla násobkem 100 a poměru hodnoty nejvhodnější nabídky k hodnocené nabídce, tj.</w:t>
      </w:r>
    </w:p>
    <w:p w:rsidR="00C84B4D" w:rsidRPr="00DB35E1" w:rsidRDefault="00C84B4D" w:rsidP="00C84B4D">
      <w:pPr>
        <w:widowControl w:val="0"/>
        <w:rPr>
          <w:rFonts w:cs="Arial"/>
          <w:snapToGrid w:val="0"/>
          <w:szCs w:val="22"/>
        </w:rPr>
      </w:pPr>
      <w:r w:rsidRPr="00DB35E1">
        <w:rPr>
          <w:rFonts w:cs="Arial"/>
          <w:snapToGrid w:val="0"/>
          <w:szCs w:val="22"/>
        </w:rPr>
        <w:t xml:space="preserve">                                                Hodnota nejvhodnější nabídky</w:t>
      </w:r>
    </w:p>
    <w:p w:rsidR="00C84B4D" w:rsidRPr="00DB35E1" w:rsidRDefault="00C84B4D" w:rsidP="00C84B4D">
      <w:pPr>
        <w:widowControl w:val="0"/>
        <w:rPr>
          <w:rFonts w:cs="Arial"/>
          <w:snapToGrid w:val="0"/>
          <w:szCs w:val="22"/>
        </w:rPr>
      </w:pPr>
      <w:r w:rsidRPr="00DB35E1">
        <w:rPr>
          <w:rFonts w:cs="Arial"/>
          <w:snapToGrid w:val="0"/>
          <w:szCs w:val="22"/>
        </w:rPr>
        <w:t>počet bodů kritéria =               ---------------------------------------   x 100</w:t>
      </w:r>
    </w:p>
    <w:p w:rsidR="00C84B4D" w:rsidRPr="00DB35E1" w:rsidRDefault="00C84B4D" w:rsidP="00C84B4D">
      <w:pPr>
        <w:widowControl w:val="0"/>
        <w:rPr>
          <w:rFonts w:cs="Arial"/>
          <w:snapToGrid w:val="0"/>
          <w:szCs w:val="22"/>
        </w:rPr>
      </w:pPr>
      <w:r w:rsidRPr="00DB35E1">
        <w:rPr>
          <w:rFonts w:cs="Arial"/>
          <w:snapToGrid w:val="0"/>
          <w:szCs w:val="22"/>
        </w:rPr>
        <w:t xml:space="preserve">                                                 Hodnota hodnocené nabídky</w:t>
      </w:r>
    </w:p>
    <w:p w:rsidR="00C84B4D" w:rsidRPr="00DB35E1" w:rsidRDefault="00C84B4D" w:rsidP="00C84B4D">
      <w:pPr>
        <w:widowControl w:val="0"/>
        <w:rPr>
          <w:rFonts w:cs="Arial"/>
          <w:snapToGrid w:val="0"/>
          <w:szCs w:val="22"/>
        </w:rPr>
      </w:pPr>
    </w:p>
    <w:p w:rsidR="00723AFD" w:rsidRPr="00DB35E1" w:rsidRDefault="00C84B4D" w:rsidP="00C84B4D">
      <w:pPr>
        <w:widowControl w:val="0"/>
        <w:rPr>
          <w:rFonts w:cs="Arial"/>
          <w:snapToGrid w:val="0"/>
          <w:szCs w:val="22"/>
        </w:rPr>
      </w:pPr>
      <w:r w:rsidRPr="00DB35E1">
        <w:rPr>
          <w:rFonts w:cs="Arial"/>
          <w:snapToGrid w:val="0"/>
          <w:szCs w:val="22"/>
        </w:rPr>
        <w:t>Při hodnocení provozních nákladů bude rozhodná její výše bez daně z přidané hodnoty (dále jen DPH).</w:t>
      </w:r>
    </w:p>
    <w:p w:rsidR="00C84B4D" w:rsidRPr="00DB35E1" w:rsidRDefault="00C84B4D" w:rsidP="00A87A2F">
      <w:pPr>
        <w:widowControl w:val="0"/>
        <w:rPr>
          <w:rFonts w:cs="Arial"/>
          <w:snapToGrid w:val="0"/>
          <w:szCs w:val="22"/>
        </w:rPr>
      </w:pPr>
    </w:p>
    <w:p w:rsidR="00A87A2F" w:rsidRPr="00DB35E1" w:rsidRDefault="00175B7A" w:rsidP="00A87A2F">
      <w:pPr>
        <w:widowControl w:val="0"/>
        <w:rPr>
          <w:rFonts w:cs="Arial"/>
          <w:snapToGrid w:val="0"/>
          <w:szCs w:val="22"/>
        </w:rPr>
      </w:pPr>
      <w:r>
        <w:rPr>
          <w:rFonts w:cs="Arial"/>
          <w:snapToGrid w:val="0"/>
          <w:szCs w:val="22"/>
        </w:rPr>
        <w:t>c</w:t>
      </w:r>
      <w:r w:rsidR="00A87A2F" w:rsidRPr="00DB35E1">
        <w:rPr>
          <w:rFonts w:cs="Arial"/>
          <w:snapToGrid w:val="0"/>
          <w:szCs w:val="22"/>
        </w:rPr>
        <w:t xml:space="preserve">) Hodinová sazba </w:t>
      </w:r>
      <w:r w:rsidRPr="00E90A58">
        <w:rPr>
          <w:rFonts w:cs="Tahoma"/>
        </w:rPr>
        <w:t>pozáruční</w:t>
      </w:r>
      <w:r>
        <w:rPr>
          <w:rFonts w:cs="Tahoma"/>
        </w:rPr>
        <w:t>ho a</w:t>
      </w:r>
      <w:r w:rsidRPr="00E90A58">
        <w:rPr>
          <w:rFonts w:cs="Tahoma"/>
        </w:rPr>
        <w:t xml:space="preserve"> </w:t>
      </w:r>
      <w:r>
        <w:rPr>
          <w:rFonts w:cs="Tahoma"/>
        </w:rPr>
        <w:t xml:space="preserve"> </w:t>
      </w:r>
      <w:r w:rsidR="00A87A2F" w:rsidRPr="00DB35E1">
        <w:rPr>
          <w:rFonts w:cs="Arial"/>
          <w:snapToGrid w:val="0"/>
          <w:szCs w:val="22"/>
        </w:rPr>
        <w:t>mimozáručního servisu (číselné kritérium)</w:t>
      </w:r>
    </w:p>
    <w:p w:rsidR="003220B2" w:rsidRPr="00DB35E1" w:rsidRDefault="003220B2"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Hodnocena bude uchazečem garantovaná hodinová sazba mimozáručního</w:t>
      </w:r>
      <w:r w:rsidR="00723AFD" w:rsidRPr="00DB35E1">
        <w:rPr>
          <w:rFonts w:cs="Arial"/>
          <w:snapToGrid w:val="0"/>
          <w:szCs w:val="22"/>
        </w:rPr>
        <w:t xml:space="preserve"> a pozáručního</w:t>
      </w:r>
      <w:r w:rsidRPr="00DB35E1">
        <w:rPr>
          <w:rFonts w:cs="Arial"/>
          <w:snapToGrid w:val="0"/>
          <w:szCs w:val="22"/>
        </w:rPr>
        <w:t xml:space="preserve"> autorizovaného servisu v Kč/ hod. bez DPH. </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Nabídnutou garantovanou sazbu</w:t>
      </w:r>
      <w:r w:rsidR="00175B7A" w:rsidRPr="00175B7A">
        <w:t xml:space="preserve"> </w:t>
      </w:r>
      <w:r w:rsidR="00175B7A" w:rsidRPr="00175B7A">
        <w:rPr>
          <w:rFonts w:cs="Arial"/>
          <w:snapToGrid w:val="0"/>
          <w:szCs w:val="22"/>
        </w:rPr>
        <w:t>pozáruční</w:t>
      </w:r>
      <w:r w:rsidR="00175B7A">
        <w:rPr>
          <w:rFonts w:cs="Arial"/>
          <w:snapToGrid w:val="0"/>
          <w:szCs w:val="22"/>
        </w:rPr>
        <w:t xml:space="preserve"> a</w:t>
      </w:r>
      <w:r w:rsidRPr="00DB35E1">
        <w:rPr>
          <w:rFonts w:cs="Arial"/>
          <w:snapToGrid w:val="0"/>
          <w:szCs w:val="22"/>
        </w:rPr>
        <w:t xml:space="preserve"> mimozáručního servisu zahrnou uchazeči do předloženého návrhu kupní smlouvy.</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Hodnocení hodinové sazby</w:t>
      </w:r>
      <w:r w:rsidR="00175B7A" w:rsidRPr="00175B7A">
        <w:t xml:space="preserve"> </w:t>
      </w:r>
      <w:r w:rsidR="00175B7A" w:rsidRPr="00175B7A">
        <w:rPr>
          <w:rFonts w:cs="Arial"/>
          <w:snapToGrid w:val="0"/>
          <w:szCs w:val="22"/>
        </w:rPr>
        <w:t>pozáruční</w:t>
      </w:r>
      <w:r w:rsidR="00175B7A">
        <w:rPr>
          <w:rFonts w:cs="Arial"/>
          <w:snapToGrid w:val="0"/>
          <w:szCs w:val="22"/>
        </w:rPr>
        <w:t>ho a</w:t>
      </w:r>
      <w:r w:rsidRPr="00DB35E1">
        <w:rPr>
          <w:rFonts w:cs="Arial"/>
          <w:snapToGrid w:val="0"/>
          <w:szCs w:val="22"/>
        </w:rPr>
        <w:t xml:space="preserve"> mimozáručního servisu: </w:t>
      </w:r>
    </w:p>
    <w:p w:rsidR="00A87A2F" w:rsidRPr="00DB35E1" w:rsidRDefault="00A87A2F" w:rsidP="00A87A2F">
      <w:pPr>
        <w:widowControl w:val="0"/>
        <w:rPr>
          <w:rFonts w:cs="Arial"/>
          <w:snapToGrid w:val="0"/>
          <w:szCs w:val="22"/>
        </w:rPr>
      </w:pPr>
      <w:r w:rsidRPr="00DB35E1">
        <w:rPr>
          <w:rFonts w:cs="Arial"/>
          <w:snapToGrid w:val="0"/>
          <w:szCs w:val="22"/>
        </w:rPr>
        <w:t xml:space="preserve">Pro číselně vyjádřitelné kritérium, pro které má nejvhodnější nabídka minimální hodnotu kritéria, získá hodnocená nabídka bodovou hodnotu, která vznikla násobkem 100 a poměru hodnoty nejvhodnější nabídky k hodnocené nabídce,   tj.               </w:t>
      </w:r>
    </w:p>
    <w:p w:rsidR="00A87A2F" w:rsidRPr="00DB35E1" w:rsidRDefault="00A87A2F"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 xml:space="preserve">                                               Hodnota nejvhodnější nabídky</w:t>
      </w:r>
    </w:p>
    <w:p w:rsidR="00A87A2F" w:rsidRPr="00DB35E1" w:rsidRDefault="00A87A2F" w:rsidP="00A87A2F">
      <w:pPr>
        <w:widowControl w:val="0"/>
        <w:rPr>
          <w:rFonts w:cs="Arial"/>
          <w:snapToGrid w:val="0"/>
          <w:szCs w:val="22"/>
        </w:rPr>
      </w:pPr>
      <w:r w:rsidRPr="00DB35E1">
        <w:rPr>
          <w:rFonts w:cs="Arial"/>
          <w:snapToGrid w:val="0"/>
          <w:szCs w:val="22"/>
        </w:rPr>
        <w:t>počet bodů kritéria =            ------------------------------------------   x 100</w:t>
      </w:r>
    </w:p>
    <w:p w:rsidR="00A87A2F" w:rsidRPr="00DB35E1" w:rsidRDefault="00A87A2F" w:rsidP="00A87A2F">
      <w:pPr>
        <w:widowControl w:val="0"/>
        <w:rPr>
          <w:rFonts w:cs="Arial"/>
          <w:snapToGrid w:val="0"/>
          <w:szCs w:val="22"/>
        </w:rPr>
      </w:pPr>
      <w:r w:rsidRPr="00DB35E1">
        <w:rPr>
          <w:rFonts w:cs="Arial"/>
          <w:snapToGrid w:val="0"/>
          <w:szCs w:val="22"/>
        </w:rPr>
        <w:t xml:space="preserve">                                               Hodnota hodnocené nabídky</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Nabídnutou hodinovou sazbu</w:t>
      </w:r>
      <w:r w:rsidR="00175B7A" w:rsidRPr="00175B7A">
        <w:t xml:space="preserve"> </w:t>
      </w:r>
      <w:r w:rsidR="00175B7A" w:rsidRPr="00175B7A">
        <w:rPr>
          <w:rFonts w:cs="Arial"/>
          <w:snapToGrid w:val="0"/>
          <w:szCs w:val="22"/>
        </w:rPr>
        <w:t>pozáruční</w:t>
      </w:r>
      <w:r w:rsidR="00175B7A">
        <w:rPr>
          <w:rFonts w:cs="Arial"/>
          <w:snapToGrid w:val="0"/>
          <w:szCs w:val="22"/>
        </w:rPr>
        <w:t>ho a</w:t>
      </w:r>
      <w:r w:rsidRPr="00DB35E1">
        <w:rPr>
          <w:rFonts w:cs="Arial"/>
          <w:snapToGrid w:val="0"/>
          <w:szCs w:val="22"/>
        </w:rPr>
        <w:t xml:space="preserve"> mimozáručního servisu zahrnou uchazeči do předloženého návrhu kupní smlouvy. </w:t>
      </w:r>
    </w:p>
    <w:p w:rsidR="005B0642" w:rsidRPr="00DB35E1" w:rsidRDefault="005B0642"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Způsob hodnocení:</w:t>
      </w:r>
    </w:p>
    <w:p w:rsidR="00A87A2F" w:rsidRPr="00DB35E1" w:rsidRDefault="00A87A2F" w:rsidP="00A87A2F">
      <w:pPr>
        <w:widowControl w:val="0"/>
        <w:rPr>
          <w:rFonts w:cs="Arial"/>
          <w:snapToGrid w:val="0"/>
          <w:szCs w:val="22"/>
        </w:rPr>
      </w:pPr>
      <w:r w:rsidRPr="00DB35E1">
        <w:rPr>
          <w:rFonts w:cs="Arial"/>
          <w:snapToGrid w:val="0"/>
          <w:szCs w:val="22"/>
        </w:rPr>
        <w:tab/>
        <w:t xml:space="preserve">Zadavatel rozhodl o způsobu hodnocení nabídek dle ekonomické výhodnosti a stanovil dílčí hodnotící kritéria a jejich váhu s tím, že bude použita bodovací metoda. Hodnocení podle bodovací metody provede hodnotící komise tak, že jednotlivá bodová ohodnocení dílčích kritérií vynásobí příslušnou vahou daného dílčího </w:t>
      </w:r>
      <w:r w:rsidRPr="00DB35E1">
        <w:rPr>
          <w:rFonts w:cs="Arial"/>
          <w:snapToGrid w:val="0"/>
          <w:szCs w:val="22"/>
        </w:rPr>
        <w:lastRenderedPageBreak/>
        <w:t>kritéria. Na základě součtu výsledných hodnot jednotlivých nabídek hodnotící komise stanoví pořadí úspěšnosti jednotlivých nabídek tak, že jako nejúspěšnější bude stanovena nabídka, která dosáhla nejvyšší bodové hodnoty.</w:t>
      </w:r>
    </w:p>
    <w:p w:rsidR="00A87A2F" w:rsidRPr="00DB35E1" w:rsidRDefault="00A87A2F" w:rsidP="00FF35AB">
      <w:pPr>
        <w:widowControl w:val="0"/>
        <w:rPr>
          <w:rFonts w:cs="Arial"/>
          <w:snapToGrid w:val="0"/>
          <w:szCs w:val="22"/>
        </w:rPr>
      </w:pPr>
    </w:p>
    <w:p w:rsidR="005B0642" w:rsidRPr="00DB35E1" w:rsidRDefault="005B0642" w:rsidP="00FF35AB">
      <w:pPr>
        <w:widowControl w:val="0"/>
        <w:rPr>
          <w:rFonts w:cs="Arial"/>
          <w:snapToGrid w:val="0"/>
          <w:szCs w:val="22"/>
        </w:rPr>
      </w:pPr>
      <w:r w:rsidRPr="00DB35E1">
        <w:rPr>
          <w:rFonts w:cs="Arial"/>
          <w:snapToGrid w:val="0"/>
          <w:szCs w:val="22"/>
        </w:rPr>
        <w:t>V případě rovnosti bodů dvou nabídek bude vyhodnocena nabídky s nižší cenou za provozní náklady za 1 rok bez DPH.</w:t>
      </w:r>
      <w:r w:rsidR="009F5D1A" w:rsidRPr="00DB35E1">
        <w:rPr>
          <w:rFonts w:cs="Arial"/>
          <w:snapToGrid w:val="0"/>
          <w:szCs w:val="22"/>
        </w:rPr>
        <w:t xml:space="preserve"> </w:t>
      </w:r>
    </w:p>
    <w:p w:rsidR="00423427" w:rsidRPr="00DB35E1" w:rsidRDefault="00423427" w:rsidP="00423427">
      <w:pPr>
        <w:rPr>
          <w:szCs w:val="22"/>
        </w:rPr>
      </w:pPr>
      <w:r w:rsidRPr="00DB35E1">
        <w:rPr>
          <w:szCs w:val="22"/>
        </w:rPr>
        <w:t xml:space="preserve">Posouzení a hodnocení nabídek proběhne v souladu s vnitřní směrnicí </w:t>
      </w:r>
      <w:r w:rsidR="0002056A" w:rsidRPr="00DB35E1">
        <w:rPr>
          <w:szCs w:val="22"/>
        </w:rPr>
        <w:t>Technických služeb</w:t>
      </w:r>
      <w:r w:rsidRPr="00DB35E1">
        <w:rPr>
          <w:szCs w:val="22"/>
        </w:rPr>
        <w:t xml:space="preserve"> Havlíčkův Brod k postupu zadávání a hodnocení veřejných zakázek malého rozsahu a to hodnotící komisí dle ustanovení 3.4 této směrnice.</w:t>
      </w:r>
    </w:p>
    <w:p w:rsidR="00962CA3" w:rsidRDefault="00962CA3" w:rsidP="00423427">
      <w:pPr>
        <w:rPr>
          <w:szCs w:val="22"/>
        </w:rPr>
      </w:pPr>
    </w:p>
    <w:p w:rsidR="00977A1C" w:rsidRDefault="00977A1C" w:rsidP="00423427">
      <w:pPr>
        <w:rPr>
          <w:szCs w:val="22"/>
        </w:rPr>
      </w:pPr>
    </w:p>
    <w:p w:rsidR="00977A1C" w:rsidRDefault="00977A1C" w:rsidP="00423427">
      <w:pPr>
        <w:rPr>
          <w:szCs w:val="22"/>
        </w:rPr>
      </w:pPr>
    </w:p>
    <w:p w:rsidR="00977A1C" w:rsidRDefault="00977A1C" w:rsidP="00423427">
      <w:pPr>
        <w:rPr>
          <w:szCs w:val="22"/>
        </w:rPr>
      </w:pPr>
    </w:p>
    <w:p w:rsidR="00977A1C" w:rsidRDefault="00977A1C"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Default="00A05DA3" w:rsidP="00962CA3">
      <w:pPr>
        <w:numPr>
          <w:ilvl w:val="0"/>
          <w:numId w:val="21"/>
        </w:numPr>
        <w:spacing w:after="120"/>
        <w:ind w:left="714" w:hanging="357"/>
      </w:pPr>
      <w:r>
        <w:t xml:space="preserve">Návrh </w:t>
      </w:r>
      <w:r w:rsidR="00962CA3" w:rsidRPr="00962CA3">
        <w:t>Smlouvy</w:t>
      </w:r>
      <w:r>
        <w:t xml:space="preserve"> o dílo</w:t>
      </w:r>
      <w:r w:rsidR="00962CA3" w:rsidRPr="00962CA3">
        <w:t xml:space="preserve"> podepsaný statutárním zástupcem uchazeče případně osobou oprávněnou jednat jménem uchazeče. </w:t>
      </w:r>
    </w:p>
    <w:p w:rsidR="00D20ADF" w:rsidRPr="00D20ADF" w:rsidRDefault="00D20ADF" w:rsidP="00D20ADF">
      <w:pPr>
        <w:pStyle w:val="Odstavecseseznamem"/>
        <w:numPr>
          <w:ilvl w:val="0"/>
          <w:numId w:val="21"/>
        </w:numPr>
      </w:pPr>
      <w:r w:rsidRPr="00D20ADF">
        <w:t>Podrobný technický popis předmětu veřejné zakázky formou</w:t>
      </w:r>
      <w:r>
        <w:t xml:space="preserve"> přílohy č 1</w:t>
      </w:r>
      <w:r w:rsidRPr="00D20ADF">
        <w:t xml:space="preserve"> Základní technické specifikace, z něhož musí vyplývat, že nabízené vybavení splňuje požadavky (zejména parametry) uvedené v zadávací dokumentaci. Součástí nabídky budou i fotografie zboží určeného k dodání (případně prospekt)</w:t>
      </w:r>
    </w:p>
    <w:p w:rsidR="00D20ADF" w:rsidRDefault="00A05DA3" w:rsidP="00D20ADF">
      <w:pPr>
        <w:pStyle w:val="Odstavecseseznamem"/>
        <w:numPr>
          <w:ilvl w:val="0"/>
          <w:numId w:val="21"/>
        </w:numPr>
      </w:pPr>
      <w:r>
        <w:t>Příloha č. 2 – Seznam výbavy autobusů</w:t>
      </w:r>
    </w:p>
    <w:p w:rsidR="00D20ADF" w:rsidRDefault="00A05DA3" w:rsidP="00D20ADF">
      <w:pPr>
        <w:pStyle w:val="Odstavecseseznamem"/>
        <w:numPr>
          <w:ilvl w:val="0"/>
          <w:numId w:val="21"/>
        </w:numPr>
      </w:pPr>
      <w:r>
        <w:t>Příloha č. 3 – rozpočet nákladu za dodaný hardware</w:t>
      </w:r>
    </w:p>
    <w:p w:rsidR="00A05DA3" w:rsidRPr="00D20ADF" w:rsidRDefault="00A05DA3" w:rsidP="00D20ADF">
      <w:pPr>
        <w:pStyle w:val="Odstavecseseznamem"/>
        <w:numPr>
          <w:ilvl w:val="0"/>
          <w:numId w:val="21"/>
        </w:numPr>
      </w:pPr>
      <w:r>
        <w:t xml:space="preserve">Příloha č. 4 – vyčíslení veškerých nákladů včetně doplnění hardware, software i paušálních poplatků za období jednoho roku na splnění tohoto požadavku, pokud se pro něj zadavatel rozhodne, do krycího listu </w:t>
      </w:r>
      <w:r w:rsidR="007B272B" w:rsidRPr="007B272B">
        <w:rPr>
          <w:b/>
          <w:sz w:val="32"/>
          <w:szCs w:val="32"/>
        </w:rPr>
        <w:t>***</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967F45" w:rsidRDefault="00962CA3" w:rsidP="00423427">
      <w:pPr>
        <w:numPr>
          <w:ilvl w:val="0"/>
          <w:numId w:val="21"/>
        </w:numPr>
        <w:spacing w:after="120"/>
        <w:ind w:left="714" w:hanging="357"/>
      </w:pPr>
      <w:r w:rsidRPr="00962CA3">
        <w:t>Ostatní (dle uvážení uchazeče)</w:t>
      </w:r>
    </w:p>
    <w:p w:rsidR="008F018A" w:rsidRDefault="008F018A" w:rsidP="008F018A">
      <w:pPr>
        <w:spacing w:after="120"/>
        <w:ind w:left="714"/>
      </w:pPr>
    </w:p>
    <w:p w:rsidR="00977A1C" w:rsidRDefault="00977A1C" w:rsidP="008F018A">
      <w:pPr>
        <w:spacing w:after="120"/>
        <w:ind w:left="714"/>
      </w:pPr>
    </w:p>
    <w:p w:rsidR="00977A1C" w:rsidRDefault="00977A1C" w:rsidP="008F018A">
      <w:pPr>
        <w:spacing w:after="120"/>
        <w:ind w:left="714"/>
      </w:pPr>
      <w:bookmarkStart w:id="1" w:name="_GoBack"/>
      <w:bookmarkEnd w:id="1"/>
    </w:p>
    <w:p w:rsidR="00977A1C" w:rsidRPr="008F018A" w:rsidRDefault="00977A1C" w:rsidP="008F018A">
      <w:pPr>
        <w:spacing w:after="120"/>
        <w:ind w:left="714"/>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w:t>
      </w:r>
      <w:r w:rsidR="00504152">
        <w:rPr>
          <w:szCs w:val="22"/>
        </w:rPr>
        <w:t xml:space="preserve">ení účastníka zadávacího řízení, </w:t>
      </w:r>
      <w:r w:rsidRPr="00B04156">
        <w:rPr>
          <w:szCs w:val="22"/>
        </w:rPr>
        <w:t xml:space="preserve">oznámení o výběru nejvhodnější dodavatele </w:t>
      </w:r>
      <w:r w:rsidR="00504152">
        <w:rPr>
          <w:szCs w:val="22"/>
        </w:rPr>
        <w:t xml:space="preserve">nebo rozhodnutí o zrušení veškeré zakázky </w:t>
      </w:r>
      <w:r w:rsidRPr="00B04156">
        <w:rPr>
          <w:szCs w:val="22"/>
        </w:rPr>
        <w:t>zadavatel uveřejní na profilu zadavatele.</w:t>
      </w:r>
    </w:p>
    <w:p w:rsidR="008E538B" w:rsidRPr="00B04156" w:rsidRDefault="008E538B" w:rsidP="008E538B">
      <w:pPr>
        <w:pStyle w:val="Odstavecseseznamem"/>
        <w:numPr>
          <w:ilvl w:val="0"/>
          <w:numId w:val="21"/>
        </w:numPr>
        <w:rPr>
          <w:szCs w:val="22"/>
        </w:rPr>
      </w:pPr>
      <w:r w:rsidRPr="00B04156">
        <w:rPr>
          <w:szCs w:val="22"/>
        </w:rPr>
        <w:t xml:space="preserve">Zadavatel si vyhrazuje možnost změny dodavatele v průběhu plnění veřejné zakázky, a to v případě, že </w:t>
      </w:r>
      <w:r w:rsidRPr="00DB35E1">
        <w:rPr>
          <w:szCs w:val="22"/>
        </w:rPr>
        <w:t>dodavatel, se kterým uzavře smlouvu, dílo nedokončí</w:t>
      </w:r>
      <w:r w:rsidR="009F5D1A" w:rsidRPr="00DB35E1">
        <w:rPr>
          <w:szCs w:val="22"/>
        </w:rPr>
        <w:t xml:space="preserve"> a nepředá zákazníkovi do užívání ve stanoveném termínu v stoprocentně funkčním stavu</w:t>
      </w:r>
      <w:r w:rsidRPr="00DB35E1">
        <w:rPr>
          <w:szCs w:val="22"/>
        </w:rPr>
        <w:t xml:space="preserve">. V takovém případě je zadavatel oprávněn uzavřít smlouvu na celé či zbytek díla s dodavatelem, který se </w:t>
      </w:r>
      <w:r w:rsidRPr="00B04156">
        <w:rPr>
          <w:szCs w:val="22"/>
        </w:rPr>
        <w:t>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w:t>
      </w:r>
      <w:r w:rsidRPr="00D20ADF">
        <w:rPr>
          <w:rFonts w:cs="Arial"/>
        </w:rPr>
        <w:t xml:space="preserve">(příloha </w:t>
      </w:r>
      <w:proofErr w:type="gramStart"/>
      <w:r w:rsidRPr="00D20ADF">
        <w:rPr>
          <w:rFonts w:cs="Arial"/>
        </w:rPr>
        <w:t>č.</w:t>
      </w:r>
      <w:r w:rsidR="00D20ADF">
        <w:rPr>
          <w:rFonts w:cs="Arial"/>
        </w:rPr>
        <w:t>3</w:t>
      </w:r>
      <w:r w:rsidRPr="00B4455E">
        <w:rPr>
          <w:rFonts w:cs="Arial"/>
        </w:rPr>
        <w:t>)</w:t>
      </w:r>
      <w:r w:rsidR="003838A1">
        <w:rPr>
          <w:rFonts w:cs="Arial"/>
        </w:rPr>
        <w:t xml:space="preserve"> </w:t>
      </w:r>
      <w:r w:rsidRPr="00B4455E">
        <w:rPr>
          <w:rFonts w:cs="Arial"/>
        </w:rPr>
        <w:t>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1168FF" w:rsidRDefault="008E538B" w:rsidP="008E538B">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8E538B" w:rsidRDefault="008E538B" w:rsidP="008E538B">
      <w:pPr>
        <w:numPr>
          <w:ilvl w:val="0"/>
          <w:numId w:val="21"/>
        </w:numPr>
      </w:pPr>
      <w:r w:rsidRPr="001168FF">
        <w:t xml:space="preserve">Zadavatel si vyhrazuje právo odebírat i jiné druhy zboží od dodavatele. </w:t>
      </w:r>
    </w:p>
    <w:p w:rsidR="008E538B" w:rsidRDefault="008E538B" w:rsidP="008E538B">
      <w:pPr>
        <w:numPr>
          <w:ilvl w:val="0"/>
          <w:numId w:val="21"/>
        </w:numPr>
      </w:pPr>
      <w:r w:rsidRPr="001168FF">
        <w:lastRenderedPageBreak/>
        <w:t>Uchazeč nebude výhradním dodavatelem zboží a zadavatel si vyhrazuje možnost odebrat zboží i od jiného dodavatele.</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8F018A" w:rsidRDefault="009F5D1A" w:rsidP="002B511D">
      <w:pPr>
        <w:rPr>
          <w:rFonts w:cs="Arial"/>
          <w:i/>
        </w:rPr>
      </w:pPr>
      <w:r w:rsidRPr="0070430D">
        <w:rPr>
          <w:rFonts w:cs="Arial"/>
          <w:i/>
        </w:rPr>
        <w:t>V </w:t>
      </w:r>
      <w:r w:rsidR="0070430D" w:rsidRPr="0070430D">
        <w:rPr>
          <w:rFonts w:cs="Arial"/>
          <w:i/>
        </w:rPr>
        <w:t>Ha</w:t>
      </w:r>
      <w:r w:rsidRPr="0070430D">
        <w:rPr>
          <w:rFonts w:cs="Arial"/>
          <w:i/>
        </w:rPr>
        <w:t xml:space="preserve">vlíčkově </w:t>
      </w:r>
      <w:r w:rsidR="0070430D" w:rsidRPr="0070430D">
        <w:rPr>
          <w:rFonts w:cs="Arial"/>
          <w:i/>
        </w:rPr>
        <w:t>B</w:t>
      </w:r>
      <w:r w:rsidRPr="0070430D">
        <w:rPr>
          <w:rFonts w:cs="Arial"/>
          <w:i/>
        </w:rPr>
        <w:t xml:space="preserve">rodě dne </w:t>
      </w:r>
      <w:r w:rsidR="0067692D">
        <w:rPr>
          <w:rFonts w:cs="Arial"/>
          <w:i/>
        </w:rPr>
        <w:t>13</w:t>
      </w:r>
      <w:r w:rsidR="008F018A">
        <w:rPr>
          <w:rFonts w:cs="Arial"/>
          <w:i/>
        </w:rPr>
        <w:t xml:space="preserve">. </w:t>
      </w:r>
      <w:r w:rsidR="0067692D">
        <w:rPr>
          <w:rFonts w:cs="Arial"/>
          <w:i/>
        </w:rPr>
        <w:t>7</w:t>
      </w:r>
      <w:r w:rsidR="008F018A">
        <w:rPr>
          <w:rFonts w:cs="Arial"/>
          <w:i/>
        </w:rPr>
        <w:t>. 2020</w:t>
      </w:r>
    </w:p>
    <w:p w:rsidR="002B511D" w:rsidRPr="008F018A" w:rsidRDefault="002B511D" w:rsidP="002B511D">
      <w:pPr>
        <w:rPr>
          <w:rFonts w:cs="Arial"/>
          <w:i/>
        </w:rPr>
      </w:pPr>
      <w:r w:rsidRPr="001168FF">
        <w:t xml:space="preserve">                                                                            </w:t>
      </w:r>
      <w:r w:rsidR="009F5D1A">
        <w:t xml:space="preserve">                                                 </w:t>
      </w:r>
      <w:r w:rsidR="008F018A">
        <w:t xml:space="preserve">              </w:t>
      </w:r>
      <w:r w:rsidRPr="001168FF">
        <w:t xml:space="preserve">  Ing. Karel Milichovský</w:t>
      </w:r>
    </w:p>
    <w:p w:rsidR="002B511D" w:rsidRDefault="009F5D1A"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BA2668">
        <w:rPr>
          <w:sz w:val="16"/>
          <w:szCs w:val="16"/>
        </w:rPr>
        <w:t>Lubomír Hepner</w:t>
      </w:r>
      <w:r w:rsidR="008F018A">
        <w:rPr>
          <w:sz w:val="16"/>
          <w:szCs w:val="16"/>
        </w:rPr>
        <w:t xml:space="preserve"> – vedoucí </w:t>
      </w:r>
      <w:r w:rsidRPr="00D5606C">
        <w:rPr>
          <w:sz w:val="16"/>
          <w:szCs w:val="16"/>
        </w:rPr>
        <w:t>středis</w:t>
      </w:r>
      <w:r w:rsidR="008F018A">
        <w:rPr>
          <w:sz w:val="16"/>
          <w:szCs w:val="16"/>
        </w:rPr>
        <w:t>ek MHD, MTZ, DT</w:t>
      </w:r>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2"/>
      <w:footerReference w:type="default" r:id="rId13"/>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5C" w:rsidRDefault="006B1F5C" w:rsidP="00516332">
      <w:r>
        <w:separator/>
      </w:r>
    </w:p>
  </w:endnote>
  <w:endnote w:type="continuationSeparator" w:id="0">
    <w:p w:rsidR="006B1F5C" w:rsidRDefault="006B1F5C"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38384A"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14:anchorId="503862FF" wp14:editId="1C76D150">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DE3EB7"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5C" w:rsidRDefault="006B1F5C" w:rsidP="00516332">
      <w:r>
        <w:separator/>
      </w:r>
    </w:p>
  </w:footnote>
  <w:footnote w:type="continuationSeparator" w:id="0">
    <w:p w:rsidR="006B1F5C" w:rsidRDefault="006B1F5C"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14:anchorId="3C56F08F" wp14:editId="6E5769C6">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38384A" w:rsidP="00305236">
    <w:pPr>
      <w:pStyle w:val="Zhlav"/>
    </w:pPr>
    <w:r>
      <w:rPr>
        <w:noProof/>
      </w:rPr>
      <mc:AlternateContent>
        <mc:Choice Requires="wps">
          <w:drawing>
            <wp:anchor distT="0" distB="0" distL="114300" distR="114300" simplePos="0" relativeHeight="251657216" behindDoc="0" locked="0" layoutInCell="1" allowOverlap="1" wp14:anchorId="2A81CA3D" wp14:editId="6FFD83F2">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6E261A"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A684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10E9"/>
    <w:rsid w:val="000336ED"/>
    <w:rsid w:val="00041F06"/>
    <w:rsid w:val="00067C66"/>
    <w:rsid w:val="00085B02"/>
    <w:rsid w:val="00094907"/>
    <w:rsid w:val="000A60D4"/>
    <w:rsid w:val="000A6A98"/>
    <w:rsid w:val="000E3873"/>
    <w:rsid w:val="000F00DD"/>
    <w:rsid w:val="000F1D46"/>
    <w:rsid w:val="0011136E"/>
    <w:rsid w:val="00112F68"/>
    <w:rsid w:val="001225D1"/>
    <w:rsid w:val="001631AB"/>
    <w:rsid w:val="001703EC"/>
    <w:rsid w:val="00175B7A"/>
    <w:rsid w:val="00184CB7"/>
    <w:rsid w:val="001901CF"/>
    <w:rsid w:val="001D02C5"/>
    <w:rsid w:val="001D4E83"/>
    <w:rsid w:val="001E0E5C"/>
    <w:rsid w:val="001E14B7"/>
    <w:rsid w:val="001E4289"/>
    <w:rsid w:val="00206EEB"/>
    <w:rsid w:val="00223D8F"/>
    <w:rsid w:val="00242A6D"/>
    <w:rsid w:val="00243D27"/>
    <w:rsid w:val="0025572C"/>
    <w:rsid w:val="00274744"/>
    <w:rsid w:val="0027575B"/>
    <w:rsid w:val="00283BB4"/>
    <w:rsid w:val="00290197"/>
    <w:rsid w:val="00290434"/>
    <w:rsid w:val="00296274"/>
    <w:rsid w:val="00297AE4"/>
    <w:rsid w:val="002A0A4A"/>
    <w:rsid w:val="002B083C"/>
    <w:rsid w:val="002B1820"/>
    <w:rsid w:val="002B28BF"/>
    <w:rsid w:val="002B511D"/>
    <w:rsid w:val="002C7BA7"/>
    <w:rsid w:val="002E05D8"/>
    <w:rsid w:val="002E088A"/>
    <w:rsid w:val="002E1DAE"/>
    <w:rsid w:val="0030123A"/>
    <w:rsid w:val="00303AC9"/>
    <w:rsid w:val="00305236"/>
    <w:rsid w:val="00310959"/>
    <w:rsid w:val="003220B2"/>
    <w:rsid w:val="003354AC"/>
    <w:rsid w:val="00347E20"/>
    <w:rsid w:val="003735B4"/>
    <w:rsid w:val="0038384A"/>
    <w:rsid w:val="003838A1"/>
    <w:rsid w:val="00384D87"/>
    <w:rsid w:val="00394213"/>
    <w:rsid w:val="003977A7"/>
    <w:rsid w:val="003C36BC"/>
    <w:rsid w:val="003D5BB3"/>
    <w:rsid w:val="003D71DC"/>
    <w:rsid w:val="003E204A"/>
    <w:rsid w:val="003F1C3C"/>
    <w:rsid w:val="004003B5"/>
    <w:rsid w:val="00407698"/>
    <w:rsid w:val="00416EB0"/>
    <w:rsid w:val="00423427"/>
    <w:rsid w:val="00423590"/>
    <w:rsid w:val="00423C5B"/>
    <w:rsid w:val="004345DA"/>
    <w:rsid w:val="004376A6"/>
    <w:rsid w:val="004432FA"/>
    <w:rsid w:val="00453414"/>
    <w:rsid w:val="004617BC"/>
    <w:rsid w:val="00465FCE"/>
    <w:rsid w:val="0048304D"/>
    <w:rsid w:val="00487FD0"/>
    <w:rsid w:val="00493D82"/>
    <w:rsid w:val="004B06C3"/>
    <w:rsid w:val="004C512D"/>
    <w:rsid w:val="004E4901"/>
    <w:rsid w:val="004F714B"/>
    <w:rsid w:val="0050032B"/>
    <w:rsid w:val="00504152"/>
    <w:rsid w:val="00504F08"/>
    <w:rsid w:val="005110BF"/>
    <w:rsid w:val="00512670"/>
    <w:rsid w:val="00513B1E"/>
    <w:rsid w:val="00514ACA"/>
    <w:rsid w:val="00514FA7"/>
    <w:rsid w:val="00516332"/>
    <w:rsid w:val="00524BD3"/>
    <w:rsid w:val="00525978"/>
    <w:rsid w:val="005443A3"/>
    <w:rsid w:val="00553490"/>
    <w:rsid w:val="00565F05"/>
    <w:rsid w:val="00571C61"/>
    <w:rsid w:val="00577BED"/>
    <w:rsid w:val="00594DAC"/>
    <w:rsid w:val="005A7CDF"/>
    <w:rsid w:val="005B0642"/>
    <w:rsid w:val="005B7DDD"/>
    <w:rsid w:val="005E4B00"/>
    <w:rsid w:val="005E6775"/>
    <w:rsid w:val="006159F5"/>
    <w:rsid w:val="006264A1"/>
    <w:rsid w:val="0062696E"/>
    <w:rsid w:val="00630DB2"/>
    <w:rsid w:val="006525A6"/>
    <w:rsid w:val="00657C68"/>
    <w:rsid w:val="00670452"/>
    <w:rsid w:val="00676117"/>
    <w:rsid w:val="0067692D"/>
    <w:rsid w:val="006853F3"/>
    <w:rsid w:val="00693E8B"/>
    <w:rsid w:val="00696A98"/>
    <w:rsid w:val="006B1987"/>
    <w:rsid w:val="006B1F5C"/>
    <w:rsid w:val="006B2F78"/>
    <w:rsid w:val="006B7D29"/>
    <w:rsid w:val="006D3620"/>
    <w:rsid w:val="006D5059"/>
    <w:rsid w:val="006E333E"/>
    <w:rsid w:val="006E5DAE"/>
    <w:rsid w:val="006F685F"/>
    <w:rsid w:val="0070430D"/>
    <w:rsid w:val="00723AFD"/>
    <w:rsid w:val="007471FC"/>
    <w:rsid w:val="00750F2D"/>
    <w:rsid w:val="007538AA"/>
    <w:rsid w:val="007674B4"/>
    <w:rsid w:val="00793F55"/>
    <w:rsid w:val="007952C4"/>
    <w:rsid w:val="007A4F03"/>
    <w:rsid w:val="007B272B"/>
    <w:rsid w:val="007B464E"/>
    <w:rsid w:val="007C3565"/>
    <w:rsid w:val="007E0B6E"/>
    <w:rsid w:val="007E4454"/>
    <w:rsid w:val="007E78D7"/>
    <w:rsid w:val="007F6875"/>
    <w:rsid w:val="008407A8"/>
    <w:rsid w:val="00843CB1"/>
    <w:rsid w:val="00864C1E"/>
    <w:rsid w:val="008705C8"/>
    <w:rsid w:val="0087501B"/>
    <w:rsid w:val="00895EAE"/>
    <w:rsid w:val="008B59C6"/>
    <w:rsid w:val="008C0504"/>
    <w:rsid w:val="008C2735"/>
    <w:rsid w:val="008C2864"/>
    <w:rsid w:val="008E532B"/>
    <w:rsid w:val="008E538B"/>
    <w:rsid w:val="008E66FE"/>
    <w:rsid w:val="008F018A"/>
    <w:rsid w:val="008F4C87"/>
    <w:rsid w:val="0090072D"/>
    <w:rsid w:val="00912A48"/>
    <w:rsid w:val="00916589"/>
    <w:rsid w:val="00934B09"/>
    <w:rsid w:val="00945BC1"/>
    <w:rsid w:val="00952567"/>
    <w:rsid w:val="009549F8"/>
    <w:rsid w:val="00962CA3"/>
    <w:rsid w:val="00964AAD"/>
    <w:rsid w:val="0096551B"/>
    <w:rsid w:val="0096713B"/>
    <w:rsid w:val="00967F45"/>
    <w:rsid w:val="00977A1C"/>
    <w:rsid w:val="009805AF"/>
    <w:rsid w:val="00982C9E"/>
    <w:rsid w:val="009A17C0"/>
    <w:rsid w:val="009A5FC5"/>
    <w:rsid w:val="009A6E7A"/>
    <w:rsid w:val="009B10E4"/>
    <w:rsid w:val="009C2531"/>
    <w:rsid w:val="009F5D1A"/>
    <w:rsid w:val="00A05DA3"/>
    <w:rsid w:val="00A175AD"/>
    <w:rsid w:val="00A3179B"/>
    <w:rsid w:val="00A31DB1"/>
    <w:rsid w:val="00A6379A"/>
    <w:rsid w:val="00A667C8"/>
    <w:rsid w:val="00A66E95"/>
    <w:rsid w:val="00A803CD"/>
    <w:rsid w:val="00A82D31"/>
    <w:rsid w:val="00A87A2F"/>
    <w:rsid w:val="00A901FB"/>
    <w:rsid w:val="00AB3E23"/>
    <w:rsid w:val="00AB49B4"/>
    <w:rsid w:val="00AF1F8D"/>
    <w:rsid w:val="00B0045F"/>
    <w:rsid w:val="00B107BB"/>
    <w:rsid w:val="00B10ACB"/>
    <w:rsid w:val="00B11E36"/>
    <w:rsid w:val="00B11FDD"/>
    <w:rsid w:val="00B4455E"/>
    <w:rsid w:val="00B66F86"/>
    <w:rsid w:val="00B976B2"/>
    <w:rsid w:val="00BA2668"/>
    <w:rsid w:val="00BA6698"/>
    <w:rsid w:val="00BA7BB4"/>
    <w:rsid w:val="00BB2197"/>
    <w:rsid w:val="00BC726B"/>
    <w:rsid w:val="00BE19EE"/>
    <w:rsid w:val="00BF44F2"/>
    <w:rsid w:val="00C1307E"/>
    <w:rsid w:val="00C2022F"/>
    <w:rsid w:val="00C41317"/>
    <w:rsid w:val="00C67140"/>
    <w:rsid w:val="00C70D45"/>
    <w:rsid w:val="00C7681B"/>
    <w:rsid w:val="00C84B4D"/>
    <w:rsid w:val="00C87777"/>
    <w:rsid w:val="00CA135C"/>
    <w:rsid w:val="00CB5F4B"/>
    <w:rsid w:val="00CB5FBD"/>
    <w:rsid w:val="00CB7D98"/>
    <w:rsid w:val="00CC5D6D"/>
    <w:rsid w:val="00D14E4F"/>
    <w:rsid w:val="00D20ADF"/>
    <w:rsid w:val="00D35934"/>
    <w:rsid w:val="00D36A17"/>
    <w:rsid w:val="00D55A9B"/>
    <w:rsid w:val="00D5606C"/>
    <w:rsid w:val="00D758CB"/>
    <w:rsid w:val="00D91598"/>
    <w:rsid w:val="00D93431"/>
    <w:rsid w:val="00DB0831"/>
    <w:rsid w:val="00DB27DD"/>
    <w:rsid w:val="00DB35E1"/>
    <w:rsid w:val="00DC37C8"/>
    <w:rsid w:val="00DE7A28"/>
    <w:rsid w:val="00DE7B73"/>
    <w:rsid w:val="00E00D02"/>
    <w:rsid w:val="00E06FBD"/>
    <w:rsid w:val="00E10762"/>
    <w:rsid w:val="00E24553"/>
    <w:rsid w:val="00E33B7D"/>
    <w:rsid w:val="00E53B30"/>
    <w:rsid w:val="00E659AE"/>
    <w:rsid w:val="00E724CA"/>
    <w:rsid w:val="00E76138"/>
    <w:rsid w:val="00E85C17"/>
    <w:rsid w:val="00EB5B7D"/>
    <w:rsid w:val="00ED03C3"/>
    <w:rsid w:val="00F00069"/>
    <w:rsid w:val="00F179C1"/>
    <w:rsid w:val="00F21EE1"/>
    <w:rsid w:val="00F26EC1"/>
    <w:rsid w:val="00F35EE7"/>
    <w:rsid w:val="00F63310"/>
    <w:rsid w:val="00F65BFC"/>
    <w:rsid w:val="00F72AFE"/>
    <w:rsid w:val="00F741DA"/>
    <w:rsid w:val="00F94CC7"/>
    <w:rsid w:val="00FA02DA"/>
    <w:rsid w:val="00FA4978"/>
    <w:rsid w:val="00FB09C6"/>
    <w:rsid w:val="00FC468B"/>
    <w:rsid w:val="00FD66E7"/>
    <w:rsid w:val="00FE26CA"/>
    <w:rsid w:val="00FE4286"/>
    <w:rsid w:val="00FE52A6"/>
    <w:rsid w:val="00FF35AB"/>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 w:type="character" w:styleId="Odkaznakoment">
    <w:name w:val="annotation reference"/>
    <w:basedOn w:val="Standardnpsmoodstavce"/>
    <w:uiPriority w:val="99"/>
    <w:semiHidden/>
    <w:unhideWhenUsed/>
    <w:rsid w:val="00CA135C"/>
    <w:rPr>
      <w:sz w:val="16"/>
      <w:szCs w:val="16"/>
    </w:rPr>
  </w:style>
  <w:style w:type="paragraph" w:styleId="Textkomente">
    <w:name w:val="annotation text"/>
    <w:basedOn w:val="Normln"/>
    <w:link w:val="TextkomenteChar"/>
    <w:uiPriority w:val="99"/>
    <w:semiHidden/>
    <w:unhideWhenUsed/>
    <w:rsid w:val="00CA135C"/>
  </w:style>
  <w:style w:type="character" w:customStyle="1" w:styleId="TextkomenteChar">
    <w:name w:val="Text komentáře Char"/>
    <w:basedOn w:val="Standardnpsmoodstavce"/>
    <w:link w:val="Textkomente"/>
    <w:uiPriority w:val="99"/>
    <w:semiHidden/>
    <w:rsid w:val="00CA135C"/>
    <w:rPr>
      <w:rFonts w:ascii="Arial" w:eastAsia="Times New Roman" w:hAnsi="Arial"/>
      <w:spacing w:val="-5"/>
    </w:rPr>
  </w:style>
  <w:style w:type="paragraph" w:styleId="Pedmtkomente">
    <w:name w:val="annotation subject"/>
    <w:basedOn w:val="Textkomente"/>
    <w:next w:val="Textkomente"/>
    <w:link w:val="PedmtkomenteChar"/>
    <w:uiPriority w:val="99"/>
    <w:semiHidden/>
    <w:unhideWhenUsed/>
    <w:rsid w:val="00CA135C"/>
    <w:rPr>
      <w:b/>
      <w:bCs/>
    </w:rPr>
  </w:style>
  <w:style w:type="character" w:customStyle="1" w:styleId="PedmtkomenteChar">
    <w:name w:val="Předmět komentáře Char"/>
    <w:basedOn w:val="TextkomenteChar"/>
    <w:link w:val="Pedmtkomente"/>
    <w:uiPriority w:val="99"/>
    <w:semiHidden/>
    <w:rsid w:val="00CA135C"/>
    <w:rPr>
      <w:rFonts w:ascii="Arial" w:eastAsia="Times New Roman"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232008398">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10896129">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pner@tsh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epner@tsh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hepner@tshb.cz" TargetMode="Externa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C694D-3620-4127-91CB-DD31016E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11426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2020-07-10T14:42:00Z</dcterms:created>
  <dcterms:modified xsi:type="dcterms:W3CDTF">2020-07-13T10:32:00Z</dcterms:modified>
</cp:coreProperties>
</file>