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7636A4">
        <w:rPr>
          <w:rFonts w:ascii="Calibri" w:eastAsia="Times New Roman" w:hAnsi="Calibri" w:cs="Calibri"/>
          <w:b/>
          <w:sz w:val="28"/>
          <w:szCs w:val="28"/>
          <w:lang w:eastAsia="cs-CZ"/>
        </w:rPr>
        <w:t>7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>Vybavení onkogynekologického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7636A4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7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7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>Název projektu: „Vysoce specializovaná péče v oblasti onkogynekologie“</w:t>
    </w:r>
    <w:r w:rsidR="00CA457C" w:rsidRPr="00CA457C">
      <w:rPr>
        <w:rFonts w:ascii="Calibri" w:hAnsi="Calibri" w:cs="Calibri"/>
        <w:sz w:val="20"/>
        <w:szCs w:val="20"/>
      </w:rPr>
      <w:t>, reg.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7636A4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5F92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4683B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01D5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36A4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2018-03-26T13:48:00Z</dcterms:created>
  <dcterms:modified xsi:type="dcterms:W3CDTF">2018-03-26T13:48:00Z</dcterms:modified>
</cp:coreProperties>
</file>