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2FAD9" w14:textId="77777777" w:rsidR="002A0B44" w:rsidRDefault="002A0B44">
      <w:pPr>
        <w:pStyle w:val="Zhlav"/>
        <w:tabs>
          <w:tab w:val="clear" w:pos="4536"/>
          <w:tab w:val="clear" w:pos="9072"/>
        </w:tabs>
        <w:spacing w:after="200"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12F6B" w:rsidRPr="00212F6B" w14:paraId="0A5BC30E" w14:textId="77777777" w:rsidTr="006A30E4">
        <w:trPr>
          <w:trHeight w:val="567"/>
        </w:trPr>
        <w:tc>
          <w:tcPr>
            <w:tcW w:w="9212" w:type="dxa"/>
            <w:gridSpan w:val="2"/>
          </w:tcPr>
          <w:p w14:paraId="455B58EE" w14:textId="77777777" w:rsidR="00212F6B" w:rsidRDefault="00212F6B" w:rsidP="00212F6B">
            <w:pPr>
              <w:jc w:val="center"/>
              <w:rPr>
                <w:rFonts w:cs="Arial"/>
                <w:b/>
              </w:rPr>
            </w:pPr>
          </w:p>
          <w:p w14:paraId="6107FC02" w14:textId="00D34DC6" w:rsidR="00212F6B" w:rsidRPr="00212F6B" w:rsidRDefault="00212F6B" w:rsidP="00212F6B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</w:rPr>
              <w:t>Odůvodnění účelnosti veřejné zakázky</w:t>
            </w:r>
          </w:p>
        </w:tc>
      </w:tr>
      <w:tr w:rsidR="00212F6B" w:rsidRPr="00212F6B" w14:paraId="35F24F9E" w14:textId="77777777" w:rsidTr="006A30E4">
        <w:trPr>
          <w:trHeight w:val="1989"/>
        </w:trPr>
        <w:tc>
          <w:tcPr>
            <w:tcW w:w="2988" w:type="dxa"/>
          </w:tcPr>
          <w:p w14:paraId="7D5699E4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7C90ED1D" w14:textId="19F0F0A8" w:rsidR="00212F6B" w:rsidRPr="00212F6B" w:rsidRDefault="00212F6B" w:rsidP="00212F6B">
            <w:pPr>
              <w:autoSpaceDE w:val="0"/>
              <w:adjustRightInd w:val="0"/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 xml:space="preserve">Popis potřeb, které mají být </w:t>
            </w:r>
            <w:r>
              <w:rPr>
                <w:rFonts w:eastAsia="Calibri" w:cs="TimesNewRomanPSMT"/>
                <w:sz w:val="20"/>
                <w:szCs w:val="20"/>
              </w:rPr>
              <w:t>s</w:t>
            </w:r>
            <w:r w:rsidRPr="00212F6B">
              <w:rPr>
                <w:rFonts w:eastAsia="Calibri" w:cs="TimesNewRomanPSMT"/>
                <w:sz w:val="20"/>
                <w:szCs w:val="20"/>
              </w:rPr>
              <w:t>plněním veřejné zakázky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naplněny</w:t>
            </w:r>
          </w:p>
          <w:p w14:paraId="5EE56333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211B8A80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24" w:type="dxa"/>
          </w:tcPr>
          <w:p w14:paraId="389D045A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7ABCBED8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Stav všech dotčený komunikací je v současné době již krajně nevyhovující. Zadavatel tak směřuje především k zajištění odpovídajícího technického stavu komunikací, zvýšení bezpečnosti a snížení nepříznivých dopadů dopravy a úpravy provozu v dotčených ulicích. Jde totiž o ulice s dožilými vrstvami krytu vozovek a opravami po častých překopech a úpravách povrchu, které již nevyhovují potřebám veřejnosti.</w:t>
            </w:r>
          </w:p>
        </w:tc>
      </w:tr>
      <w:tr w:rsidR="00212F6B" w:rsidRPr="00212F6B" w14:paraId="0A1C5DC4" w14:textId="77777777" w:rsidTr="006A30E4">
        <w:trPr>
          <w:trHeight w:val="1833"/>
        </w:trPr>
        <w:tc>
          <w:tcPr>
            <w:tcW w:w="2988" w:type="dxa"/>
          </w:tcPr>
          <w:p w14:paraId="2BE530A6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Popis předmětu veřejné zakázky</w:t>
            </w:r>
          </w:p>
        </w:tc>
        <w:tc>
          <w:tcPr>
            <w:tcW w:w="6224" w:type="dxa"/>
          </w:tcPr>
          <w:p w14:paraId="12881864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V rámci plnění veřejné zakázky by poté mělo dojít k rekonstrukci a podložních vrstev komunikací, k úpravě sklonu vozovky, k vytvoření podélných parkovacích stání, ploch zeleně a k rekonstrukci současných parkovacích míst. Řešeny jsou také přechody z komunikace či chodníku k nemovitostem na přilehlých parcelách. Zásadní rekonstrukcí projde také veřejné osvětlení, jež se v dotčených ulicích nachází.</w:t>
            </w:r>
          </w:p>
        </w:tc>
      </w:tr>
      <w:tr w:rsidR="00212F6B" w:rsidRPr="00212F6B" w14:paraId="07DB1462" w14:textId="77777777" w:rsidTr="006A30E4">
        <w:trPr>
          <w:trHeight w:val="1548"/>
        </w:trPr>
        <w:tc>
          <w:tcPr>
            <w:tcW w:w="2988" w:type="dxa"/>
          </w:tcPr>
          <w:p w14:paraId="7E9BB643" w14:textId="620F3005" w:rsidR="00212F6B" w:rsidRPr="00212F6B" w:rsidRDefault="00212F6B" w:rsidP="00212F6B">
            <w:pPr>
              <w:autoSpaceDE w:val="0"/>
              <w:adjustRightInd w:val="0"/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 xml:space="preserve">Popis vzájemného vztahu </w:t>
            </w:r>
            <w:r>
              <w:rPr>
                <w:rFonts w:eastAsia="Calibri" w:cs="TimesNewRomanPSMT"/>
                <w:sz w:val="20"/>
                <w:szCs w:val="20"/>
              </w:rPr>
              <w:t>p</w:t>
            </w:r>
            <w:r w:rsidRPr="00212F6B">
              <w:rPr>
                <w:rFonts w:eastAsia="Calibri" w:cs="TimesNewRomanPSMT"/>
                <w:sz w:val="20"/>
                <w:szCs w:val="20"/>
              </w:rPr>
              <w:t>ředmětu veřejné zakázky a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potřeb zadavatele</w:t>
            </w:r>
          </w:p>
        </w:tc>
        <w:tc>
          <w:tcPr>
            <w:tcW w:w="6224" w:type="dxa"/>
          </w:tcPr>
          <w:p w14:paraId="36AC3787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Realizací veřejné zakázky tak dojde k odstranění výše popsaného nežádoucího stavu, s čímž je spojeno především zajištění odpovídajícího technického stavu komunikací, zvýšení bezpečnosti a snížení nepříznivých dopadů dopravy a úpravy provozu v dotčených ulicích jak pro místní ekonomické subjekty, tak i pro obyvatele a návštěvníky obce Průhonice.</w:t>
            </w:r>
          </w:p>
        </w:tc>
      </w:tr>
      <w:tr w:rsidR="00212F6B" w:rsidRPr="00212F6B" w14:paraId="58858E37" w14:textId="77777777" w:rsidTr="006A30E4">
        <w:trPr>
          <w:trHeight w:val="1130"/>
        </w:trPr>
        <w:tc>
          <w:tcPr>
            <w:tcW w:w="2988" w:type="dxa"/>
          </w:tcPr>
          <w:p w14:paraId="7AA99B03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Předpokládaný termín splnění veřejné zakázky</w:t>
            </w:r>
          </w:p>
        </w:tc>
        <w:tc>
          <w:tcPr>
            <w:tcW w:w="6224" w:type="dxa"/>
          </w:tcPr>
          <w:p w14:paraId="57ACB0C2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Předpokládaný termín splnění veřejné zakázky:</w:t>
            </w:r>
          </w:p>
          <w:p w14:paraId="1705E742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cca 13 měsíců od předání staveniště (předpokládaný termín 1. 8. 2014). S tím, že stavba musí být zejména kvůli dotačním podmínkám provedena na dvě etapy.</w:t>
            </w:r>
          </w:p>
        </w:tc>
      </w:tr>
    </w:tbl>
    <w:p w14:paraId="16ADB983" w14:textId="77777777" w:rsidR="00212F6B" w:rsidRPr="00212F6B" w:rsidRDefault="00212F6B" w:rsidP="00212F6B"/>
    <w:p w14:paraId="5A1C97B3" w14:textId="77777777" w:rsidR="00212F6B" w:rsidRPr="00212F6B" w:rsidRDefault="00212F6B" w:rsidP="00212F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12F6B" w:rsidRPr="00212F6B" w14:paraId="26C2B9DA" w14:textId="77777777" w:rsidTr="006A30E4">
        <w:trPr>
          <w:trHeight w:val="567"/>
        </w:trPr>
        <w:tc>
          <w:tcPr>
            <w:tcW w:w="9212" w:type="dxa"/>
            <w:gridSpan w:val="2"/>
          </w:tcPr>
          <w:p w14:paraId="15F49056" w14:textId="77777777" w:rsidR="00212F6B" w:rsidRPr="00212F6B" w:rsidRDefault="00212F6B" w:rsidP="006A30E4">
            <w:pPr>
              <w:jc w:val="center"/>
              <w:rPr>
                <w:rFonts w:cs="Arial"/>
                <w:b/>
              </w:rPr>
            </w:pPr>
          </w:p>
          <w:p w14:paraId="7CD8DDD2" w14:textId="5C6F7E8C" w:rsidR="00212F6B" w:rsidRPr="00212F6B" w:rsidRDefault="00212F6B" w:rsidP="00212F6B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</w:rPr>
              <w:t>Odůvodnění účelnosti veřejné zakázky dle ust. § 2 vyhlášky č. 232/2012 Sb.</w:t>
            </w:r>
          </w:p>
        </w:tc>
      </w:tr>
      <w:tr w:rsidR="00212F6B" w:rsidRPr="00212F6B" w14:paraId="45469973" w14:textId="77777777" w:rsidTr="006A30E4">
        <w:trPr>
          <w:trHeight w:val="1989"/>
        </w:trPr>
        <w:tc>
          <w:tcPr>
            <w:tcW w:w="2988" w:type="dxa"/>
          </w:tcPr>
          <w:p w14:paraId="17609DB7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754AAD6F" w14:textId="4D5B14DF" w:rsidR="00212F6B" w:rsidRPr="00212F6B" w:rsidRDefault="00212F6B" w:rsidP="00212F6B">
            <w:pPr>
              <w:autoSpaceDE w:val="0"/>
              <w:adjustRightInd w:val="0"/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Veřejný zadavatel popíše změny oproti skutečnostem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uvedeným podle § 1 vyhlášky</w:t>
            </w:r>
          </w:p>
        </w:tc>
        <w:tc>
          <w:tcPr>
            <w:tcW w:w="6224" w:type="dxa"/>
          </w:tcPr>
          <w:p w14:paraId="4CEC6A98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24C21905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Beze změn kromě posunutí termínu z důvodu delších časových intervalů při projednávání finanční podpory ze strany poskytovatele dotace.</w:t>
            </w:r>
          </w:p>
        </w:tc>
      </w:tr>
      <w:tr w:rsidR="00212F6B" w:rsidRPr="00212F6B" w14:paraId="1A4E2FF4" w14:textId="77777777" w:rsidTr="006A30E4">
        <w:trPr>
          <w:trHeight w:val="1833"/>
        </w:trPr>
        <w:tc>
          <w:tcPr>
            <w:tcW w:w="2988" w:type="dxa"/>
          </w:tcPr>
          <w:p w14:paraId="181D3B80" w14:textId="211F7AFF" w:rsidR="00212F6B" w:rsidRPr="00212F6B" w:rsidRDefault="00212F6B" w:rsidP="00212F6B">
            <w:pPr>
              <w:autoSpaceDE w:val="0"/>
              <w:adjustRightInd w:val="0"/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lastRenderedPageBreak/>
              <w:t>Popis rizik souvisejících s plněním veřejné zakázky,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která zadavatel zohlednil při stanovení zadávacích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podmínek.</w:t>
            </w:r>
          </w:p>
        </w:tc>
        <w:tc>
          <w:tcPr>
            <w:tcW w:w="6224" w:type="dxa"/>
          </w:tcPr>
          <w:p w14:paraId="6AFA2AF0" w14:textId="1493A336" w:rsidR="00212F6B" w:rsidRPr="00212F6B" w:rsidRDefault="00212F6B" w:rsidP="00212F6B">
            <w:pPr>
              <w:autoSpaceDE w:val="0"/>
              <w:adjustRightInd w:val="0"/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V případě nerealizování této veřejné zakázky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může docházet k omezení průchodu chodců a průjezdu vozidel z důvodu nevyhovujícího stavu pozemních komunikací. Stejně tak jako se zvyšuje pravděpodobnost poškození projíždějících vozidel a zranění procházejících chodců. V důsledku technických nedostatků může dojít k omezení obslužnosti přilehlých nemovitostí.</w:t>
            </w:r>
          </w:p>
        </w:tc>
      </w:tr>
      <w:tr w:rsidR="00212F6B" w:rsidRPr="00212F6B" w14:paraId="74306FBD" w14:textId="77777777" w:rsidTr="006A30E4">
        <w:trPr>
          <w:trHeight w:val="1548"/>
        </w:trPr>
        <w:tc>
          <w:tcPr>
            <w:tcW w:w="2988" w:type="dxa"/>
          </w:tcPr>
          <w:p w14:paraId="42AD6AE5" w14:textId="79685038" w:rsidR="00212F6B" w:rsidRPr="00212F6B" w:rsidRDefault="00212F6B" w:rsidP="00212F6B">
            <w:pPr>
              <w:autoSpaceDE w:val="0"/>
              <w:adjustRightInd w:val="0"/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Veřejný zadavatel může vymezit varianty naplnění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potřeby a zdůvodnění zvolené alternativy veřejné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zakázky.</w:t>
            </w:r>
          </w:p>
        </w:tc>
        <w:tc>
          <w:tcPr>
            <w:tcW w:w="6224" w:type="dxa"/>
          </w:tcPr>
          <w:p w14:paraId="11EAB50D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Zadavatel jinou alternativu k dosažení vytyčeného cíle nevidí.</w:t>
            </w:r>
          </w:p>
        </w:tc>
      </w:tr>
      <w:tr w:rsidR="00212F6B" w:rsidRPr="00212F6B" w14:paraId="30DE07DE" w14:textId="77777777" w:rsidTr="006A30E4">
        <w:trPr>
          <w:trHeight w:val="1130"/>
        </w:trPr>
        <w:tc>
          <w:tcPr>
            <w:tcW w:w="2988" w:type="dxa"/>
          </w:tcPr>
          <w:p w14:paraId="656E6273" w14:textId="4F855BAF" w:rsidR="00212F6B" w:rsidRPr="00212F6B" w:rsidRDefault="00212F6B" w:rsidP="00212F6B">
            <w:pPr>
              <w:autoSpaceDE w:val="0"/>
              <w:adjustRightInd w:val="0"/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Veřejný zadavatel může vymezit, do jaké míry ovlivní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veřejná zakázka plnění plánovaného cíle</w:t>
            </w:r>
            <w:r>
              <w:rPr>
                <w:rFonts w:eastAsia="Calibri" w:cs="TimesNewRomanPSMT"/>
                <w:sz w:val="20"/>
                <w:szCs w:val="20"/>
              </w:rPr>
              <w:t>.</w:t>
            </w:r>
          </w:p>
        </w:tc>
        <w:tc>
          <w:tcPr>
            <w:tcW w:w="6224" w:type="dxa"/>
          </w:tcPr>
          <w:p w14:paraId="56C3CEB6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Realizací veřejné zakázky tak dojde k odstranění výše popsaného nežádoucího stavu, s čímž je spojeno především zajištění odpovídajícího technického stavu komunikací, zvýšení bezpečnosti a snížení nepříznivých dopadů dopravy a úpravy provozu v dotčených ulicích jak pro místní ekonomické subjekty, tak i pro obyvatele a návštěvníky obce Průhonice.</w:t>
            </w:r>
          </w:p>
        </w:tc>
      </w:tr>
      <w:tr w:rsidR="00212F6B" w:rsidRPr="00212F6B" w14:paraId="34C8BFE9" w14:textId="77777777" w:rsidTr="006A30E4">
        <w:trPr>
          <w:trHeight w:val="1130"/>
        </w:trPr>
        <w:tc>
          <w:tcPr>
            <w:tcW w:w="2988" w:type="dxa"/>
          </w:tcPr>
          <w:p w14:paraId="5138671B" w14:textId="642E3382" w:rsidR="00212F6B" w:rsidRPr="00212F6B" w:rsidRDefault="00212F6B" w:rsidP="00212F6B">
            <w:pPr>
              <w:autoSpaceDE w:val="0"/>
              <w:adjustRightInd w:val="0"/>
              <w:rPr>
                <w:rFonts w:eastAsia="Calibri" w:cs="TimesNewRomanPSMT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Zadavatel může uvést další informace odůvodňující</w:t>
            </w:r>
            <w:r>
              <w:rPr>
                <w:rFonts w:eastAsia="Calibri" w:cs="TimesNewRomanPSMT"/>
                <w:sz w:val="20"/>
                <w:szCs w:val="20"/>
              </w:rPr>
              <w:t xml:space="preserve"> </w:t>
            </w:r>
            <w:r w:rsidRPr="00212F6B">
              <w:rPr>
                <w:rFonts w:eastAsia="Calibri" w:cs="TimesNewRomanPSMT"/>
                <w:sz w:val="20"/>
                <w:szCs w:val="20"/>
              </w:rPr>
              <w:t>účelnost veřejné zakázky</w:t>
            </w:r>
            <w:r>
              <w:rPr>
                <w:rFonts w:eastAsia="Calibri" w:cs="TimesNewRomanPSMT"/>
                <w:sz w:val="20"/>
                <w:szCs w:val="20"/>
              </w:rPr>
              <w:t>.</w:t>
            </w:r>
          </w:p>
        </w:tc>
        <w:tc>
          <w:tcPr>
            <w:tcW w:w="6224" w:type="dxa"/>
          </w:tcPr>
          <w:p w14:paraId="7BD851D8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----</w:t>
            </w:r>
          </w:p>
        </w:tc>
      </w:tr>
    </w:tbl>
    <w:p w14:paraId="14770B9D" w14:textId="77777777" w:rsidR="00212F6B" w:rsidRPr="00212F6B" w:rsidRDefault="00212F6B" w:rsidP="00212F6B"/>
    <w:p w14:paraId="360541D4" w14:textId="77777777" w:rsidR="00212F6B" w:rsidRPr="00212F6B" w:rsidRDefault="00212F6B" w:rsidP="00212F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12F6B" w:rsidRPr="00212F6B" w14:paraId="7841E244" w14:textId="77777777" w:rsidTr="006A30E4">
        <w:tc>
          <w:tcPr>
            <w:tcW w:w="9212" w:type="dxa"/>
            <w:gridSpan w:val="2"/>
          </w:tcPr>
          <w:p w14:paraId="3FF05E24" w14:textId="77777777" w:rsidR="00212F6B" w:rsidRDefault="00212F6B" w:rsidP="006A30E4">
            <w:pPr>
              <w:jc w:val="center"/>
              <w:rPr>
                <w:rFonts w:cs="Arial"/>
                <w:b/>
              </w:rPr>
            </w:pPr>
          </w:p>
          <w:p w14:paraId="63A95597" w14:textId="77777777" w:rsidR="00212F6B" w:rsidRPr="00212F6B" w:rsidRDefault="00212F6B" w:rsidP="006A30E4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</w:rPr>
              <w:t>Odůvodnění přiměřenosti požadavků na technické kvalifikační předpoklady pro plnění</w:t>
            </w:r>
          </w:p>
          <w:p w14:paraId="6E59709B" w14:textId="3A3C8CBF" w:rsidR="00212F6B" w:rsidRPr="00212F6B" w:rsidRDefault="00212F6B" w:rsidP="00212F6B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</w:rPr>
              <w:t>veřejné zakázky na stavební práce</w:t>
            </w:r>
          </w:p>
        </w:tc>
      </w:tr>
      <w:tr w:rsidR="00212F6B" w:rsidRPr="00212F6B" w14:paraId="1EF8E853" w14:textId="77777777" w:rsidTr="006A30E4">
        <w:tc>
          <w:tcPr>
            <w:tcW w:w="2988" w:type="dxa"/>
          </w:tcPr>
          <w:p w14:paraId="2024FB9E" w14:textId="0358745B" w:rsidR="00212F6B" w:rsidRPr="00212F6B" w:rsidRDefault="00212F6B" w:rsidP="00212F6B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Odůvodnění přiměřenosti požadavku na předložení seznamu stavebních prací, ze kterého vyplývá, že finanční hodnota uvedených stavebních prací je v souhrnu minimálně dvojnásobek předpokládané hodnoty veřejné zakázky.</w:t>
            </w:r>
          </w:p>
        </w:tc>
        <w:tc>
          <w:tcPr>
            <w:tcW w:w="6224" w:type="dxa"/>
          </w:tcPr>
          <w:p w14:paraId="45D5A827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30A0AC26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Zadavatel splnění technického kvalifikačního předpokladu v tomto rozsahu nepožaduje.</w:t>
            </w:r>
          </w:p>
        </w:tc>
      </w:tr>
      <w:tr w:rsidR="00212F6B" w:rsidRPr="00212F6B" w14:paraId="053216CD" w14:textId="77777777" w:rsidTr="006A30E4">
        <w:tc>
          <w:tcPr>
            <w:tcW w:w="2988" w:type="dxa"/>
          </w:tcPr>
          <w:p w14:paraId="25675512" w14:textId="5C696D70" w:rsidR="00212F6B" w:rsidRPr="00212F6B" w:rsidRDefault="00212F6B" w:rsidP="00212F6B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Odůvodnění přiměřenosti požadavku na předložení seznamu více než tří t</w:t>
            </w:r>
            <w:r>
              <w:rPr>
                <w:rFonts w:cs="Arial"/>
                <w:sz w:val="20"/>
                <w:szCs w:val="20"/>
              </w:rPr>
              <w:t>echniků nebo technických útvarů.</w:t>
            </w:r>
          </w:p>
        </w:tc>
        <w:tc>
          <w:tcPr>
            <w:tcW w:w="6224" w:type="dxa"/>
          </w:tcPr>
          <w:p w14:paraId="0837472B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4BB1F5DE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Zadavatel splnění technického kvalifikačního předpokladu v tomto rozsahu nepožaduje.</w:t>
            </w:r>
          </w:p>
        </w:tc>
      </w:tr>
      <w:tr w:rsidR="00212F6B" w:rsidRPr="00212F6B" w14:paraId="05CDB1D3" w14:textId="77777777" w:rsidTr="006A30E4">
        <w:tc>
          <w:tcPr>
            <w:tcW w:w="2988" w:type="dxa"/>
          </w:tcPr>
          <w:p w14:paraId="5398372E" w14:textId="77777777" w:rsid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1189C338" w14:textId="77777777" w:rsid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62C993B3" w14:textId="7B7F6DA8" w:rsidR="00212F6B" w:rsidRPr="00212F6B" w:rsidRDefault="00212F6B" w:rsidP="00212F6B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Odůvodnění přiměřenosti požadavku na předložení osvědčení odborné kvalifikace delší než pět let dodavatele nebo vedoucích zaměstnanců dodavatele nebo osob v obdobném postavení a osob odpovědných za vedení realiza</w:t>
            </w:r>
            <w:r>
              <w:rPr>
                <w:rFonts w:cs="Arial"/>
                <w:sz w:val="20"/>
                <w:szCs w:val="20"/>
              </w:rPr>
              <w:t>ce příslušných stavebních prací.</w:t>
            </w:r>
          </w:p>
        </w:tc>
        <w:tc>
          <w:tcPr>
            <w:tcW w:w="6224" w:type="dxa"/>
          </w:tcPr>
          <w:p w14:paraId="6A342998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6E2C97D0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3FC90079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1D23E9D1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Zadavatel splnění technického kvalifikačního předpokladu v tomto rozsahu nepožaduje</w:t>
            </w:r>
            <w:r w:rsidRPr="00212F6B">
              <w:rPr>
                <w:rFonts w:cs="Arial"/>
                <w:sz w:val="20"/>
                <w:szCs w:val="20"/>
              </w:rPr>
              <w:t>.</w:t>
            </w:r>
          </w:p>
        </w:tc>
      </w:tr>
      <w:tr w:rsidR="00212F6B" w:rsidRPr="00212F6B" w14:paraId="04F4D03F" w14:textId="77777777" w:rsidTr="006A30E4">
        <w:tc>
          <w:tcPr>
            <w:tcW w:w="2988" w:type="dxa"/>
          </w:tcPr>
          <w:p w14:paraId="063155ED" w14:textId="629ECC27" w:rsidR="00212F6B" w:rsidRPr="00212F6B" w:rsidRDefault="00212F6B" w:rsidP="00212F6B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lastRenderedPageBreak/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</w:tc>
        <w:tc>
          <w:tcPr>
            <w:tcW w:w="6224" w:type="dxa"/>
          </w:tcPr>
          <w:p w14:paraId="2DBA0BB0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555F2751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3E743A19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0BE5AB99" w14:textId="77777777" w:rsidR="00212F6B" w:rsidRPr="00212F6B" w:rsidRDefault="00212F6B" w:rsidP="006A30E4">
            <w:pPr>
              <w:autoSpaceDE w:val="0"/>
              <w:adjustRightInd w:val="0"/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Zadavatel splnění tohoto technického kvalifikačního předpokladu nepožaduje.</w:t>
            </w:r>
          </w:p>
        </w:tc>
      </w:tr>
      <w:tr w:rsidR="00212F6B" w:rsidRPr="00212F6B" w14:paraId="1915FAF2" w14:textId="77777777" w:rsidTr="006A30E4">
        <w:tc>
          <w:tcPr>
            <w:tcW w:w="2988" w:type="dxa"/>
          </w:tcPr>
          <w:p w14:paraId="3EE5B530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>Odůvodnění přiměřenosti požadavku na předložení přehledu nástrojů nebo pomůcek, provozních a technických zařízení, které bude mít dodavatel při plnění veřejné zakázky k dispozici.</w:t>
            </w:r>
          </w:p>
        </w:tc>
        <w:tc>
          <w:tcPr>
            <w:tcW w:w="6224" w:type="dxa"/>
          </w:tcPr>
          <w:p w14:paraId="6DC15FB0" w14:textId="010AD368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cs="Arial"/>
                <w:sz w:val="20"/>
                <w:szCs w:val="20"/>
              </w:rPr>
              <w:t xml:space="preserve"> </w:t>
            </w:r>
          </w:p>
          <w:p w14:paraId="2E80DBA6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</w:p>
          <w:p w14:paraId="20773AC2" w14:textId="77777777" w:rsidR="00212F6B" w:rsidRPr="00212F6B" w:rsidRDefault="00212F6B" w:rsidP="006A30E4">
            <w:pPr>
              <w:rPr>
                <w:rFonts w:cs="Arial"/>
                <w:sz w:val="20"/>
                <w:szCs w:val="20"/>
              </w:rPr>
            </w:pPr>
            <w:r w:rsidRPr="00212F6B">
              <w:rPr>
                <w:rFonts w:eastAsia="Calibri" w:cs="TimesNewRomanPSMT"/>
                <w:sz w:val="20"/>
                <w:szCs w:val="20"/>
              </w:rPr>
              <w:t>Zadavatel splnění tohoto technického kvalifikačního předpokladu nepožaduje.</w:t>
            </w:r>
          </w:p>
        </w:tc>
      </w:tr>
    </w:tbl>
    <w:p w14:paraId="7B48E0EA" w14:textId="77777777" w:rsidR="00212F6B" w:rsidRPr="00212F6B" w:rsidRDefault="00212F6B" w:rsidP="00212F6B"/>
    <w:p w14:paraId="56A3620E" w14:textId="77777777" w:rsidR="00212F6B" w:rsidRPr="00212F6B" w:rsidRDefault="00212F6B" w:rsidP="00212F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212F6B" w:rsidRPr="00212F6B" w14:paraId="21F7A383" w14:textId="77777777" w:rsidTr="006A30E4">
        <w:trPr>
          <w:trHeight w:val="529"/>
        </w:trPr>
        <w:tc>
          <w:tcPr>
            <w:tcW w:w="9212" w:type="dxa"/>
          </w:tcPr>
          <w:p w14:paraId="54F5AA39" w14:textId="77777777" w:rsidR="00212F6B" w:rsidRPr="00212F6B" w:rsidRDefault="00212F6B" w:rsidP="006A30E4">
            <w:pPr>
              <w:jc w:val="center"/>
              <w:rPr>
                <w:rFonts w:cs="Arial"/>
                <w:b/>
              </w:rPr>
            </w:pPr>
          </w:p>
          <w:p w14:paraId="0709E735" w14:textId="233F1B03" w:rsidR="00212F6B" w:rsidRPr="00212F6B" w:rsidRDefault="00212F6B" w:rsidP="00212F6B">
            <w:pPr>
              <w:jc w:val="center"/>
              <w:rPr>
                <w:rFonts w:cs="Arial"/>
              </w:rPr>
            </w:pPr>
            <w:r w:rsidRPr="00212F6B">
              <w:rPr>
                <w:rFonts w:cs="Arial"/>
                <w:b/>
              </w:rPr>
              <w:t>Odůvodnění vymezení obchodních podmínek</w:t>
            </w:r>
          </w:p>
        </w:tc>
      </w:tr>
      <w:tr w:rsidR="00212F6B" w:rsidRPr="00212F6B" w14:paraId="6273A8D5" w14:textId="77777777" w:rsidTr="006A30E4">
        <w:trPr>
          <w:trHeight w:val="757"/>
        </w:trPr>
        <w:tc>
          <w:tcPr>
            <w:tcW w:w="9212" w:type="dxa"/>
          </w:tcPr>
          <w:p w14:paraId="3448A877" w14:textId="77777777" w:rsidR="00212F6B" w:rsidRPr="00212F6B" w:rsidRDefault="00212F6B" w:rsidP="006A30E4">
            <w:pPr>
              <w:rPr>
                <w:rFonts w:cs="Arial"/>
              </w:rPr>
            </w:pPr>
            <w:r w:rsidRPr="00212F6B">
              <w:rPr>
                <w:rFonts w:cs="Arial"/>
              </w:rPr>
              <w:t xml:space="preserve">Obchodní podmínky zadavatel stanoví především tak, aby mohlo být zachováno financování </w:t>
            </w:r>
            <w:r w:rsidRPr="00212F6B">
              <w:rPr>
                <w:sz w:val="20"/>
                <w:szCs w:val="20"/>
              </w:rPr>
              <w:t>z Regionálního operačního programu NUTS 2 Střední Čechy</w:t>
            </w:r>
            <w:r w:rsidRPr="00212F6B">
              <w:t xml:space="preserve"> a zároveň aby došlo k dostatečnému zajištění závazků smluvních stran vzniklých na základě uzavřené smlouvy (tj. bankovní záruka, smluvní pokuty, možnosti odstoupení od smlouvy). Kvůli jistému vyvážení smluvního vztahu je také zajištěn i dodavatel v případě neschopnosti obce hradit své závazky (tj. úrok z prodlení). Veškeré obchodní podmínky zadavatel považuje za přiměřené s ohledem na předmět veřejné zakázky a na rizika, která mohou nastat v případě vzniku škody nebo nesplnění povinností ze strany dodavatele.  </w:t>
            </w:r>
          </w:p>
        </w:tc>
      </w:tr>
    </w:tbl>
    <w:p w14:paraId="0A20D7C9" w14:textId="77777777" w:rsidR="00212F6B" w:rsidRPr="00212F6B" w:rsidRDefault="00212F6B" w:rsidP="00212F6B"/>
    <w:p w14:paraId="2902FCC8" w14:textId="77777777" w:rsidR="00212F6B" w:rsidRPr="00212F6B" w:rsidRDefault="00212F6B" w:rsidP="00212F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212F6B" w:rsidRPr="00212F6B" w14:paraId="3CE3D95C" w14:textId="77777777" w:rsidTr="006A30E4">
        <w:tc>
          <w:tcPr>
            <w:tcW w:w="9212" w:type="dxa"/>
          </w:tcPr>
          <w:p w14:paraId="3F552A49" w14:textId="77777777" w:rsidR="00212F6B" w:rsidRPr="00212F6B" w:rsidRDefault="00212F6B" w:rsidP="006A30E4">
            <w:pPr>
              <w:jc w:val="center"/>
              <w:rPr>
                <w:rFonts w:cs="Arial"/>
                <w:b/>
              </w:rPr>
            </w:pPr>
            <w:bookmarkStart w:id="0" w:name="_GoBack"/>
            <w:bookmarkEnd w:id="0"/>
          </w:p>
          <w:p w14:paraId="41440085" w14:textId="77777777" w:rsidR="00212F6B" w:rsidRPr="00212F6B" w:rsidRDefault="00212F6B" w:rsidP="006A30E4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</w:rPr>
              <w:t>Odůvodnění vymezení technických podmínek veřejné zakázky ve vztahu k potřebám</w:t>
            </w:r>
          </w:p>
          <w:p w14:paraId="4690D262" w14:textId="46FC0467" w:rsidR="00212F6B" w:rsidRPr="00212F6B" w:rsidRDefault="00212F6B" w:rsidP="00212F6B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</w:rPr>
              <w:t>veřejného zadavatele</w:t>
            </w:r>
          </w:p>
        </w:tc>
      </w:tr>
      <w:tr w:rsidR="00212F6B" w:rsidRPr="00212F6B" w14:paraId="55D9AAF5" w14:textId="77777777" w:rsidTr="006A30E4">
        <w:tc>
          <w:tcPr>
            <w:tcW w:w="9212" w:type="dxa"/>
          </w:tcPr>
          <w:p w14:paraId="0C167D82" w14:textId="77777777" w:rsidR="00212F6B" w:rsidRPr="00212F6B" w:rsidRDefault="00212F6B" w:rsidP="006A30E4">
            <w:pPr>
              <w:rPr>
                <w:rFonts w:cs="Arial"/>
              </w:rPr>
            </w:pPr>
            <w:r w:rsidRPr="00212F6B">
              <w:rPr>
                <w:rFonts w:cs="Arial"/>
              </w:rPr>
              <w:t>Veškeré technické podmínky jsou stanoveny příslušnými projektovými dokumentacemi zpracovanými do podrobností, které specifikují předmět veřejné zakázky v rozsahu nezbytném pro zpracování nabídky, stejně jako příslušnými povoleními orgánů veřejné správy.</w:t>
            </w:r>
          </w:p>
        </w:tc>
      </w:tr>
    </w:tbl>
    <w:p w14:paraId="1A8064D4" w14:textId="77777777" w:rsidR="00212F6B" w:rsidRPr="00212F6B" w:rsidRDefault="00212F6B" w:rsidP="00212F6B"/>
    <w:p w14:paraId="4AA8DB1A" w14:textId="77777777" w:rsidR="00212F6B" w:rsidRPr="00212F6B" w:rsidRDefault="00212F6B" w:rsidP="00212F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12F6B" w:rsidRPr="00212F6B" w14:paraId="1356C469" w14:textId="77777777" w:rsidTr="006A30E4">
        <w:tc>
          <w:tcPr>
            <w:tcW w:w="9212" w:type="dxa"/>
            <w:gridSpan w:val="2"/>
          </w:tcPr>
          <w:p w14:paraId="4AEA563A" w14:textId="77777777" w:rsidR="00212F6B" w:rsidRPr="00212F6B" w:rsidRDefault="00212F6B" w:rsidP="006A30E4">
            <w:pPr>
              <w:jc w:val="center"/>
              <w:rPr>
                <w:rFonts w:cs="Arial"/>
                <w:b/>
              </w:rPr>
            </w:pPr>
          </w:p>
          <w:p w14:paraId="1AFACA7C" w14:textId="77777777" w:rsidR="00212F6B" w:rsidRPr="00212F6B" w:rsidRDefault="00212F6B" w:rsidP="006A30E4">
            <w:pPr>
              <w:jc w:val="center"/>
              <w:rPr>
                <w:rFonts w:cs="Arial"/>
                <w:b/>
                <w:bCs/>
              </w:rPr>
            </w:pPr>
            <w:r w:rsidRPr="00212F6B">
              <w:rPr>
                <w:rFonts w:cs="Arial"/>
                <w:b/>
                <w:bCs/>
              </w:rPr>
              <w:t>Odůvodnění stanovení základních a dílčích hodnotících kritérií ve vztahu k potřebám</w:t>
            </w:r>
          </w:p>
          <w:p w14:paraId="29AE0085" w14:textId="1D716BBE" w:rsidR="00212F6B" w:rsidRPr="00212F6B" w:rsidRDefault="00212F6B" w:rsidP="00212F6B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  <w:bCs/>
              </w:rPr>
              <w:t>veřejného zadavatele</w:t>
            </w:r>
          </w:p>
        </w:tc>
      </w:tr>
      <w:tr w:rsidR="00212F6B" w:rsidRPr="00212F6B" w14:paraId="231888DD" w14:textId="77777777" w:rsidTr="006A30E4">
        <w:trPr>
          <w:trHeight w:val="508"/>
        </w:trPr>
        <w:tc>
          <w:tcPr>
            <w:tcW w:w="2988" w:type="dxa"/>
          </w:tcPr>
          <w:p w14:paraId="02B9BEAC" w14:textId="77777777" w:rsidR="00212F6B" w:rsidRPr="00212F6B" w:rsidRDefault="00212F6B" w:rsidP="006A30E4">
            <w:pPr>
              <w:rPr>
                <w:rFonts w:cs="Arial"/>
              </w:rPr>
            </w:pPr>
          </w:p>
          <w:p w14:paraId="2AD48DC0" w14:textId="77777777" w:rsidR="00212F6B" w:rsidRPr="00212F6B" w:rsidRDefault="00212F6B" w:rsidP="006A30E4">
            <w:pPr>
              <w:rPr>
                <w:rFonts w:cs="Arial"/>
                <w:b/>
                <w:bCs/>
              </w:rPr>
            </w:pPr>
            <w:r w:rsidRPr="00212F6B">
              <w:rPr>
                <w:rFonts w:cs="Arial"/>
                <w:b/>
                <w:bCs/>
              </w:rPr>
              <w:t xml:space="preserve">      Hodnotící kritérium</w:t>
            </w:r>
          </w:p>
          <w:p w14:paraId="374EBA3F" w14:textId="77777777" w:rsidR="00212F6B" w:rsidRPr="00212F6B" w:rsidRDefault="00212F6B" w:rsidP="006A30E4">
            <w:pPr>
              <w:rPr>
                <w:rFonts w:cs="Arial"/>
              </w:rPr>
            </w:pPr>
          </w:p>
        </w:tc>
        <w:tc>
          <w:tcPr>
            <w:tcW w:w="6224" w:type="dxa"/>
          </w:tcPr>
          <w:p w14:paraId="624BD5E8" w14:textId="77777777" w:rsidR="00212F6B" w:rsidRPr="00212F6B" w:rsidRDefault="00212F6B" w:rsidP="006A30E4">
            <w:pPr>
              <w:rPr>
                <w:rFonts w:cs="Arial"/>
                <w:b/>
                <w:bCs/>
              </w:rPr>
            </w:pPr>
          </w:p>
          <w:p w14:paraId="125A0904" w14:textId="77777777" w:rsidR="00212F6B" w:rsidRPr="00212F6B" w:rsidRDefault="00212F6B" w:rsidP="006A30E4">
            <w:pPr>
              <w:rPr>
                <w:rFonts w:cs="Arial"/>
              </w:rPr>
            </w:pPr>
            <w:r w:rsidRPr="00212F6B">
              <w:rPr>
                <w:rFonts w:cs="Arial"/>
                <w:b/>
                <w:bCs/>
              </w:rPr>
              <w:t xml:space="preserve">                                 Odůvodnění</w:t>
            </w:r>
          </w:p>
        </w:tc>
      </w:tr>
      <w:tr w:rsidR="00212F6B" w:rsidRPr="00212F6B" w14:paraId="72FF8357" w14:textId="77777777" w:rsidTr="006A30E4">
        <w:trPr>
          <w:trHeight w:val="1085"/>
        </w:trPr>
        <w:tc>
          <w:tcPr>
            <w:tcW w:w="2988" w:type="dxa"/>
          </w:tcPr>
          <w:p w14:paraId="0CD4686F" w14:textId="175CEB17" w:rsidR="00212F6B" w:rsidRPr="00212F6B" w:rsidRDefault="00212F6B" w:rsidP="00212F6B">
            <w:pPr>
              <w:rPr>
                <w:rFonts w:cs="Arial"/>
              </w:rPr>
            </w:pPr>
            <w:r w:rsidRPr="00212F6B">
              <w:rPr>
                <w:rFonts w:cs="Arial"/>
              </w:rPr>
              <w:t xml:space="preserve"> Nejnižší nabídková cena </w:t>
            </w:r>
          </w:p>
        </w:tc>
        <w:tc>
          <w:tcPr>
            <w:tcW w:w="6224" w:type="dxa"/>
          </w:tcPr>
          <w:p w14:paraId="4C1594EF" w14:textId="62B38E92" w:rsidR="00212F6B" w:rsidRPr="00212F6B" w:rsidRDefault="00212F6B" w:rsidP="00212F6B">
            <w:pPr>
              <w:rPr>
                <w:rFonts w:cs="Arial"/>
              </w:rPr>
            </w:pPr>
            <w:r w:rsidRPr="00212F6B">
              <w:rPr>
                <w:rFonts w:cs="Arial"/>
              </w:rPr>
              <w:t>Zadavatel má v úmyslu zadat zakázku uchazeči, který předloží nabídku s nejnižší nabídkovou cenou, jelikož je přesvědčen, že toto základní hodnotící kritérium je dostatečné k tomu, aby byl vybrán dodavatel, který požadovaný předmět plnění dokáže zrealizovat.</w:t>
            </w:r>
          </w:p>
        </w:tc>
      </w:tr>
    </w:tbl>
    <w:p w14:paraId="4F5E9DBC" w14:textId="77777777" w:rsidR="00212F6B" w:rsidRPr="00212F6B" w:rsidRDefault="00212F6B" w:rsidP="00212F6B">
      <w:pPr>
        <w:rPr>
          <w:rFonts w:cs="Arial"/>
        </w:rPr>
      </w:pPr>
    </w:p>
    <w:p w14:paraId="7BD61C52" w14:textId="77777777" w:rsidR="00212F6B" w:rsidRPr="00212F6B" w:rsidRDefault="00212F6B" w:rsidP="00212F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12F6B" w:rsidRPr="00212F6B" w14:paraId="032EA400" w14:textId="77777777" w:rsidTr="006A30E4">
        <w:tc>
          <w:tcPr>
            <w:tcW w:w="9212" w:type="dxa"/>
            <w:gridSpan w:val="2"/>
          </w:tcPr>
          <w:p w14:paraId="60096CA0" w14:textId="77777777" w:rsidR="00212F6B" w:rsidRPr="00212F6B" w:rsidRDefault="00212F6B" w:rsidP="006A30E4">
            <w:pPr>
              <w:jc w:val="center"/>
              <w:rPr>
                <w:rFonts w:cs="Arial"/>
                <w:b/>
              </w:rPr>
            </w:pPr>
          </w:p>
          <w:p w14:paraId="5F84C2B6" w14:textId="4D41B3BE" w:rsidR="00212F6B" w:rsidRPr="00212F6B" w:rsidRDefault="00212F6B" w:rsidP="00212F6B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  <w:bCs/>
              </w:rPr>
              <w:t>Odůvodnění způsobu hodnocení nabídek ve vztahu k potřebám veřejného zadavatele</w:t>
            </w:r>
          </w:p>
        </w:tc>
      </w:tr>
      <w:tr w:rsidR="00212F6B" w:rsidRPr="00212F6B" w14:paraId="7220E41D" w14:textId="77777777" w:rsidTr="006A30E4">
        <w:tc>
          <w:tcPr>
            <w:tcW w:w="2988" w:type="dxa"/>
          </w:tcPr>
          <w:p w14:paraId="2F564C59" w14:textId="77777777" w:rsidR="00212F6B" w:rsidRPr="00212F6B" w:rsidRDefault="00212F6B" w:rsidP="006A30E4">
            <w:pPr>
              <w:rPr>
                <w:rFonts w:cs="Arial"/>
              </w:rPr>
            </w:pPr>
          </w:p>
          <w:p w14:paraId="693EB78F" w14:textId="6C994F12" w:rsidR="00212F6B" w:rsidRPr="00212F6B" w:rsidRDefault="00212F6B" w:rsidP="00212F6B">
            <w:pPr>
              <w:rPr>
                <w:rFonts w:cs="Arial"/>
              </w:rPr>
            </w:pPr>
            <w:r w:rsidRPr="00212F6B">
              <w:rPr>
                <w:rFonts w:cs="Arial"/>
                <w:b/>
                <w:bCs/>
              </w:rPr>
              <w:t xml:space="preserve">      Způsob hodnocení</w:t>
            </w:r>
          </w:p>
        </w:tc>
        <w:tc>
          <w:tcPr>
            <w:tcW w:w="6224" w:type="dxa"/>
          </w:tcPr>
          <w:p w14:paraId="2614C676" w14:textId="77777777" w:rsidR="00212F6B" w:rsidRPr="00212F6B" w:rsidRDefault="00212F6B" w:rsidP="006A30E4">
            <w:pPr>
              <w:rPr>
                <w:rFonts w:cs="Arial"/>
                <w:b/>
                <w:bCs/>
              </w:rPr>
            </w:pPr>
          </w:p>
          <w:p w14:paraId="060E6AB9" w14:textId="77777777" w:rsidR="00212F6B" w:rsidRPr="00212F6B" w:rsidRDefault="00212F6B" w:rsidP="006A30E4">
            <w:pPr>
              <w:rPr>
                <w:rFonts w:cs="Arial"/>
              </w:rPr>
            </w:pPr>
            <w:r w:rsidRPr="00212F6B">
              <w:rPr>
                <w:rFonts w:cs="Arial"/>
                <w:b/>
                <w:bCs/>
              </w:rPr>
              <w:t xml:space="preserve">                                 Odůvodnění</w:t>
            </w:r>
          </w:p>
        </w:tc>
      </w:tr>
      <w:tr w:rsidR="00212F6B" w:rsidRPr="00212F6B" w14:paraId="36309F08" w14:textId="77777777" w:rsidTr="006A30E4">
        <w:tc>
          <w:tcPr>
            <w:tcW w:w="2988" w:type="dxa"/>
          </w:tcPr>
          <w:p w14:paraId="72DC337A" w14:textId="77777777" w:rsidR="00212F6B" w:rsidRPr="00212F6B" w:rsidRDefault="00212F6B" w:rsidP="006A30E4">
            <w:pPr>
              <w:rPr>
                <w:rFonts w:cs="Arial"/>
              </w:rPr>
            </w:pPr>
          </w:p>
          <w:p w14:paraId="04AFD4C6" w14:textId="77777777" w:rsidR="00212F6B" w:rsidRPr="00212F6B" w:rsidRDefault="00212F6B" w:rsidP="006A30E4">
            <w:pPr>
              <w:rPr>
                <w:rFonts w:cs="Arial"/>
              </w:rPr>
            </w:pPr>
            <w:r w:rsidRPr="00212F6B">
              <w:rPr>
                <w:rFonts w:cs="Arial"/>
              </w:rPr>
              <w:t>Nejnižší nabídková cena</w:t>
            </w:r>
          </w:p>
          <w:p w14:paraId="6882505F" w14:textId="77777777" w:rsidR="00212F6B" w:rsidRPr="00212F6B" w:rsidRDefault="00212F6B" w:rsidP="006A30E4">
            <w:pPr>
              <w:rPr>
                <w:rFonts w:cs="Arial"/>
              </w:rPr>
            </w:pPr>
          </w:p>
          <w:p w14:paraId="6A523F4D" w14:textId="77777777" w:rsidR="00212F6B" w:rsidRPr="00212F6B" w:rsidRDefault="00212F6B" w:rsidP="006A30E4">
            <w:pPr>
              <w:rPr>
                <w:rFonts w:cs="Arial"/>
              </w:rPr>
            </w:pPr>
          </w:p>
        </w:tc>
        <w:tc>
          <w:tcPr>
            <w:tcW w:w="6224" w:type="dxa"/>
          </w:tcPr>
          <w:p w14:paraId="7053514D" w14:textId="77777777" w:rsidR="00212F6B" w:rsidRPr="00212F6B" w:rsidRDefault="00212F6B" w:rsidP="006A30E4">
            <w:pPr>
              <w:rPr>
                <w:rFonts w:cs="Arial"/>
              </w:rPr>
            </w:pPr>
          </w:p>
          <w:p w14:paraId="4762D921" w14:textId="77777777" w:rsidR="00212F6B" w:rsidRPr="00212F6B" w:rsidRDefault="00212F6B" w:rsidP="006A30E4">
            <w:pPr>
              <w:rPr>
                <w:rFonts w:cs="Arial"/>
              </w:rPr>
            </w:pPr>
            <w:r w:rsidRPr="00212F6B">
              <w:rPr>
                <w:rFonts w:cs="Arial"/>
              </w:rPr>
              <w:t xml:space="preserve">Hodnocení nabídek proběhne standardně porovnáním nabídkových cen tak, jak předpokládá zákon o veřejných zakázkách, přičemž platí výše uvedené, že toto hodnocení je dle názoru zadavatele dostatečné k tomu, aby byly v souvislosti se </w:t>
            </w:r>
            <w:r w:rsidRPr="00212F6B">
              <w:rPr>
                <w:rFonts w:cs="Arial"/>
              </w:rPr>
              <w:lastRenderedPageBreak/>
              <w:t xml:space="preserve">všemi podmínkami zadávacího řízení naplněny avizované potřeby zadavatele. </w:t>
            </w:r>
          </w:p>
        </w:tc>
      </w:tr>
    </w:tbl>
    <w:p w14:paraId="0251B9CC" w14:textId="77777777" w:rsidR="00212F6B" w:rsidRPr="00212F6B" w:rsidRDefault="00212F6B" w:rsidP="00212F6B">
      <w:pPr>
        <w:rPr>
          <w:rFonts w:cs="Arial"/>
        </w:rPr>
      </w:pPr>
    </w:p>
    <w:p w14:paraId="125A7AE1" w14:textId="77777777" w:rsidR="00212F6B" w:rsidRPr="00212F6B" w:rsidRDefault="00212F6B" w:rsidP="00212F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212F6B" w:rsidRPr="00212F6B" w14:paraId="169AC2E5" w14:textId="77777777" w:rsidTr="006A30E4">
        <w:tc>
          <w:tcPr>
            <w:tcW w:w="9212" w:type="dxa"/>
          </w:tcPr>
          <w:p w14:paraId="3428CDED" w14:textId="77777777" w:rsidR="00212F6B" w:rsidRPr="00212F6B" w:rsidRDefault="00212F6B" w:rsidP="006A30E4">
            <w:pPr>
              <w:jc w:val="center"/>
              <w:rPr>
                <w:rFonts w:cs="Arial"/>
                <w:b/>
              </w:rPr>
            </w:pPr>
          </w:p>
          <w:p w14:paraId="2BE1F5AD" w14:textId="507B5794" w:rsidR="00212F6B" w:rsidRPr="00212F6B" w:rsidRDefault="00212F6B" w:rsidP="00212F6B">
            <w:pPr>
              <w:jc w:val="center"/>
              <w:rPr>
                <w:rFonts w:cs="Arial"/>
                <w:b/>
              </w:rPr>
            </w:pPr>
            <w:r w:rsidRPr="00212F6B">
              <w:rPr>
                <w:rFonts w:cs="Arial"/>
                <w:b/>
                <w:bCs/>
              </w:rPr>
              <w:t>Odůvodnění předpokládané hodnoty</w:t>
            </w:r>
          </w:p>
        </w:tc>
      </w:tr>
      <w:tr w:rsidR="00212F6B" w:rsidRPr="00212F6B" w14:paraId="36309510" w14:textId="77777777" w:rsidTr="006A30E4">
        <w:trPr>
          <w:trHeight w:val="819"/>
        </w:trPr>
        <w:tc>
          <w:tcPr>
            <w:tcW w:w="9212" w:type="dxa"/>
          </w:tcPr>
          <w:p w14:paraId="26DBB44A" w14:textId="77777777" w:rsidR="00212F6B" w:rsidRDefault="00212F6B" w:rsidP="006A30E4">
            <w:pPr>
              <w:rPr>
                <w:rFonts w:cs="Arial"/>
              </w:rPr>
            </w:pPr>
          </w:p>
          <w:p w14:paraId="357DCD0F" w14:textId="77777777" w:rsidR="00212F6B" w:rsidRPr="00212F6B" w:rsidRDefault="00212F6B" w:rsidP="006A30E4">
            <w:pPr>
              <w:rPr>
                <w:rFonts w:cs="Arial"/>
              </w:rPr>
            </w:pPr>
            <w:r w:rsidRPr="00212F6B">
              <w:rPr>
                <w:rFonts w:cs="Arial"/>
              </w:rPr>
              <w:t>Předpokládaná hodnota je stanovena rozpočtem vytvořeným odpovědným projektantem stavby. Tento rozpočet je zpracován v rámci příslušných projektových dokumentací.</w:t>
            </w:r>
          </w:p>
        </w:tc>
      </w:tr>
    </w:tbl>
    <w:p w14:paraId="195E5367" w14:textId="77777777" w:rsidR="002A0B44" w:rsidRDefault="002A0B44">
      <w:pPr>
        <w:rPr>
          <w:rFonts w:ascii="Times New Roman" w:hAnsi="Times New Roman" w:cs="Times New Roman"/>
        </w:rPr>
      </w:pPr>
    </w:p>
    <w:sectPr w:rsidR="002A0B44" w:rsidSect="002A0B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E5A4F" w14:textId="77777777" w:rsidR="00F21BA0" w:rsidRDefault="00F21B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A3C36C5" w14:textId="77777777" w:rsidR="00F21BA0" w:rsidRDefault="00F21B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A0C31" w14:textId="77777777" w:rsidR="002A0B44" w:rsidRDefault="00F21BA0">
    <w:pPr>
      <w:pStyle w:val="Zpat"/>
      <w:jc w:val="center"/>
      <w:rPr>
        <w:rFonts w:ascii="Times New Roman" w:hAnsi="Times New Roman" w:cs="Times New Roman"/>
      </w:rPr>
    </w:pPr>
    <w:r>
      <w:fldChar w:fldCharType="begin"/>
    </w:r>
    <w:r>
      <w:instrText xml:space="preserve"> PAGE </w:instrText>
    </w:r>
    <w:r>
      <w:fldChar w:fldCharType="separate"/>
    </w:r>
    <w:r w:rsidR="00212F6B">
      <w:rPr>
        <w:noProof/>
      </w:rPr>
      <w:t>4</w:t>
    </w:r>
    <w:r>
      <w:rPr>
        <w:noProof/>
      </w:rPr>
      <w:fldChar w:fldCharType="end"/>
    </w:r>
  </w:p>
  <w:p w14:paraId="4C725B4A" w14:textId="77777777" w:rsidR="002A0B44" w:rsidRDefault="002A0B44">
    <w:pPr>
      <w:pStyle w:val="Zpat"/>
      <w:ind w:left="72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06187" w14:textId="77777777" w:rsidR="00F21BA0" w:rsidRDefault="00F21B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eparator/>
      </w:r>
    </w:p>
  </w:footnote>
  <w:footnote w:type="continuationSeparator" w:id="0">
    <w:p w14:paraId="1E2E31AD" w14:textId="77777777" w:rsidR="00F21BA0" w:rsidRDefault="00F21B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E0E94" w14:textId="2A1B41B5" w:rsidR="002A0B44" w:rsidRDefault="00212F6B">
    <w:pPr>
      <w:pStyle w:val="Zhlav"/>
      <w:rPr>
        <w:rFonts w:ascii="Times New Roman" w:hAnsi="Times New Roman" w:cs="Times New Roman"/>
        <w:noProof/>
        <w:lang w:eastAsia="cs-CZ"/>
      </w:rPr>
    </w:pPr>
    <w:r>
      <w:rPr>
        <w:rFonts w:ascii="Times New Roman" w:hAnsi="Times New Roman" w:cs="Times New Roman"/>
        <w:noProof/>
        <w:lang w:eastAsia="cs-CZ"/>
      </w:rPr>
      <w:drawing>
        <wp:inline distT="0" distB="0" distL="0" distR="0" wp14:anchorId="18EB978C" wp14:editId="19AD5825">
          <wp:extent cx="56292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81314C" w14:textId="77777777" w:rsidR="00212F6B" w:rsidRDefault="00212F6B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56C"/>
    <w:multiLevelType w:val="multilevel"/>
    <w:tmpl w:val="56D2475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Times New Roman" w:hAnsi="Times New Roman" w:cs="Times New Roman"/>
      </w:rPr>
    </w:lvl>
    <w:lvl w:ilvl="2">
      <w:start w:val="1"/>
      <w:numFmt w:val="none"/>
      <w:lvlText w:val="%3"/>
      <w:lvlJc w:val="left"/>
      <w:rPr>
        <w:rFonts w:ascii="Times New Roman" w:hAnsi="Times New Roman" w:cs="Times New Roman"/>
      </w:rPr>
    </w:lvl>
    <w:lvl w:ilvl="3">
      <w:start w:val="1"/>
      <w:numFmt w:val="none"/>
      <w:lvlText w:val="%4"/>
      <w:lvlJc w:val="left"/>
      <w:rPr>
        <w:rFonts w:ascii="Times New Roman" w:hAnsi="Times New Roman" w:cs="Times New Roman"/>
      </w:rPr>
    </w:lvl>
    <w:lvl w:ilvl="4">
      <w:start w:val="1"/>
      <w:numFmt w:val="none"/>
      <w:lvlText w:val="%5"/>
      <w:lvlJc w:val="left"/>
      <w:rPr>
        <w:rFonts w:ascii="Times New Roman" w:hAnsi="Times New Roman" w:cs="Times New Roman"/>
      </w:rPr>
    </w:lvl>
    <w:lvl w:ilvl="5">
      <w:start w:val="1"/>
      <w:numFmt w:val="none"/>
      <w:lvlText w:val="%6"/>
      <w:lvlJc w:val="left"/>
      <w:rPr>
        <w:rFonts w:ascii="Times New Roman" w:hAnsi="Times New Roman" w:cs="Times New Roman"/>
      </w:rPr>
    </w:lvl>
    <w:lvl w:ilvl="6">
      <w:start w:val="1"/>
      <w:numFmt w:val="none"/>
      <w:lvlText w:val="%7"/>
      <w:lvlJc w:val="left"/>
      <w:rPr>
        <w:rFonts w:ascii="Times New Roman" w:hAnsi="Times New Roman" w:cs="Times New Roman"/>
      </w:rPr>
    </w:lvl>
    <w:lvl w:ilvl="7">
      <w:start w:val="1"/>
      <w:numFmt w:val="none"/>
      <w:lvlText w:val="%8"/>
      <w:lvlJc w:val="left"/>
      <w:rPr>
        <w:rFonts w:ascii="Times New Roman" w:hAnsi="Times New Roman" w:cs="Times New Roman"/>
      </w:rPr>
    </w:lvl>
    <w:lvl w:ilvl="8">
      <w:start w:val="1"/>
      <w:numFmt w:val="none"/>
      <w:lvlText w:val="%9"/>
      <w:lvlJc w:val="left"/>
      <w:rPr>
        <w:rFonts w:ascii="Times New Roman" w:hAnsi="Times New Roman" w:cs="Times New Roman"/>
      </w:rPr>
    </w:lvl>
  </w:abstractNum>
  <w:abstractNum w:abstractNumId="1">
    <w:nsid w:val="035A343C"/>
    <w:multiLevelType w:val="multilevel"/>
    <w:tmpl w:val="3A02E2E4"/>
    <w:lvl w:ilvl="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">
    <w:nsid w:val="0DCA3623"/>
    <w:multiLevelType w:val="multilevel"/>
    <w:tmpl w:val="26387D1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Times New Roman" w:hAnsi="Times New Roman" w:cs="Times New Roman"/>
      </w:rPr>
    </w:lvl>
    <w:lvl w:ilvl="2">
      <w:start w:val="1"/>
      <w:numFmt w:val="none"/>
      <w:lvlText w:val="%3"/>
      <w:lvlJc w:val="left"/>
      <w:rPr>
        <w:rFonts w:ascii="Times New Roman" w:hAnsi="Times New Roman" w:cs="Times New Roman"/>
      </w:rPr>
    </w:lvl>
    <w:lvl w:ilvl="3">
      <w:start w:val="1"/>
      <w:numFmt w:val="none"/>
      <w:lvlText w:val="%4"/>
      <w:lvlJc w:val="left"/>
      <w:rPr>
        <w:rFonts w:ascii="Times New Roman" w:hAnsi="Times New Roman" w:cs="Times New Roman"/>
      </w:rPr>
    </w:lvl>
    <w:lvl w:ilvl="4">
      <w:start w:val="1"/>
      <w:numFmt w:val="none"/>
      <w:lvlText w:val="%5"/>
      <w:lvlJc w:val="left"/>
      <w:rPr>
        <w:rFonts w:ascii="Times New Roman" w:hAnsi="Times New Roman" w:cs="Times New Roman"/>
      </w:rPr>
    </w:lvl>
    <w:lvl w:ilvl="5">
      <w:start w:val="1"/>
      <w:numFmt w:val="none"/>
      <w:lvlText w:val="%6"/>
      <w:lvlJc w:val="left"/>
      <w:rPr>
        <w:rFonts w:ascii="Times New Roman" w:hAnsi="Times New Roman" w:cs="Times New Roman"/>
      </w:rPr>
    </w:lvl>
    <w:lvl w:ilvl="6">
      <w:start w:val="1"/>
      <w:numFmt w:val="none"/>
      <w:lvlText w:val="%7"/>
      <w:lvlJc w:val="left"/>
      <w:rPr>
        <w:rFonts w:ascii="Times New Roman" w:hAnsi="Times New Roman" w:cs="Times New Roman"/>
      </w:rPr>
    </w:lvl>
    <w:lvl w:ilvl="7">
      <w:start w:val="1"/>
      <w:numFmt w:val="none"/>
      <w:lvlText w:val="%8"/>
      <w:lvlJc w:val="left"/>
      <w:rPr>
        <w:rFonts w:ascii="Times New Roman" w:hAnsi="Times New Roman" w:cs="Times New Roman"/>
      </w:rPr>
    </w:lvl>
    <w:lvl w:ilvl="8">
      <w:start w:val="1"/>
      <w:numFmt w:val="none"/>
      <w:lvlText w:val="%9"/>
      <w:lvlJc w:val="left"/>
      <w:rPr>
        <w:rFonts w:ascii="Times New Roman" w:hAnsi="Times New Roman" w:cs="Times New Roman"/>
      </w:rPr>
    </w:lvl>
  </w:abstractNum>
  <w:abstractNum w:abstractNumId="3">
    <w:nsid w:val="0F7F1B2C"/>
    <w:multiLevelType w:val="multilevel"/>
    <w:tmpl w:val="44A4C3E4"/>
    <w:lvl w:ilvl="0">
      <w:start w:val="1"/>
      <w:numFmt w:val="upperLetter"/>
      <w:lvlText w:val="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424500B"/>
    <w:multiLevelType w:val="multilevel"/>
    <w:tmpl w:val="E8B4CCE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321675A"/>
    <w:multiLevelType w:val="multilevel"/>
    <w:tmpl w:val="739A68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Times New Roman" w:hAnsi="Times New Roman" w:cs="Times New Roman"/>
      </w:rPr>
    </w:lvl>
    <w:lvl w:ilvl="2">
      <w:start w:val="1"/>
      <w:numFmt w:val="none"/>
      <w:lvlText w:val="%3"/>
      <w:lvlJc w:val="left"/>
      <w:rPr>
        <w:rFonts w:ascii="Times New Roman" w:hAnsi="Times New Roman" w:cs="Times New Roman"/>
      </w:rPr>
    </w:lvl>
    <w:lvl w:ilvl="3">
      <w:start w:val="1"/>
      <w:numFmt w:val="none"/>
      <w:lvlText w:val="%4"/>
      <w:lvlJc w:val="left"/>
      <w:rPr>
        <w:rFonts w:ascii="Times New Roman" w:hAnsi="Times New Roman" w:cs="Times New Roman"/>
      </w:rPr>
    </w:lvl>
    <w:lvl w:ilvl="4">
      <w:start w:val="1"/>
      <w:numFmt w:val="none"/>
      <w:lvlText w:val="%5"/>
      <w:lvlJc w:val="left"/>
      <w:rPr>
        <w:rFonts w:ascii="Times New Roman" w:hAnsi="Times New Roman" w:cs="Times New Roman"/>
      </w:rPr>
    </w:lvl>
    <w:lvl w:ilvl="5">
      <w:start w:val="1"/>
      <w:numFmt w:val="none"/>
      <w:lvlText w:val="%6"/>
      <w:lvlJc w:val="left"/>
      <w:rPr>
        <w:rFonts w:ascii="Times New Roman" w:hAnsi="Times New Roman" w:cs="Times New Roman"/>
      </w:rPr>
    </w:lvl>
    <w:lvl w:ilvl="6">
      <w:start w:val="1"/>
      <w:numFmt w:val="none"/>
      <w:lvlText w:val="%7"/>
      <w:lvlJc w:val="left"/>
      <w:rPr>
        <w:rFonts w:ascii="Times New Roman" w:hAnsi="Times New Roman" w:cs="Times New Roman"/>
      </w:rPr>
    </w:lvl>
    <w:lvl w:ilvl="7">
      <w:start w:val="1"/>
      <w:numFmt w:val="none"/>
      <w:lvlText w:val="%8"/>
      <w:lvlJc w:val="left"/>
      <w:rPr>
        <w:rFonts w:ascii="Times New Roman" w:hAnsi="Times New Roman" w:cs="Times New Roman"/>
      </w:rPr>
    </w:lvl>
    <w:lvl w:ilvl="8">
      <w:start w:val="1"/>
      <w:numFmt w:val="none"/>
      <w:lvlText w:val="%9"/>
      <w:lvlJc w:val="left"/>
      <w:rPr>
        <w:rFonts w:ascii="Times New Roman" w:hAnsi="Times New Roman" w:cs="Times New Roman"/>
      </w:rPr>
    </w:lvl>
  </w:abstractNum>
  <w:abstractNum w:abstractNumId="6">
    <w:nsid w:val="2D183B2A"/>
    <w:multiLevelType w:val="multilevel"/>
    <w:tmpl w:val="EDB24ECE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>
    <w:nsid w:val="366A38E9"/>
    <w:multiLevelType w:val="multilevel"/>
    <w:tmpl w:val="00867544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8">
    <w:nsid w:val="3E1C707A"/>
    <w:multiLevelType w:val="multilevel"/>
    <w:tmpl w:val="91AAC4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AD6297E"/>
    <w:multiLevelType w:val="multilevel"/>
    <w:tmpl w:val="0B56277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Times New Roman" w:hAnsi="Times New Roman" w:cs="Times New Roman"/>
      </w:rPr>
    </w:lvl>
    <w:lvl w:ilvl="2">
      <w:start w:val="1"/>
      <w:numFmt w:val="none"/>
      <w:lvlText w:val="%3"/>
      <w:lvlJc w:val="left"/>
      <w:rPr>
        <w:rFonts w:ascii="Times New Roman" w:hAnsi="Times New Roman" w:cs="Times New Roman"/>
      </w:rPr>
    </w:lvl>
    <w:lvl w:ilvl="3">
      <w:start w:val="1"/>
      <w:numFmt w:val="none"/>
      <w:lvlText w:val="%4"/>
      <w:lvlJc w:val="left"/>
      <w:rPr>
        <w:rFonts w:ascii="Times New Roman" w:hAnsi="Times New Roman" w:cs="Times New Roman"/>
      </w:rPr>
    </w:lvl>
    <w:lvl w:ilvl="4">
      <w:start w:val="1"/>
      <w:numFmt w:val="none"/>
      <w:lvlText w:val="%5"/>
      <w:lvlJc w:val="left"/>
      <w:rPr>
        <w:rFonts w:ascii="Times New Roman" w:hAnsi="Times New Roman" w:cs="Times New Roman"/>
      </w:rPr>
    </w:lvl>
    <w:lvl w:ilvl="5">
      <w:start w:val="1"/>
      <w:numFmt w:val="none"/>
      <w:lvlText w:val="%6"/>
      <w:lvlJc w:val="left"/>
      <w:rPr>
        <w:rFonts w:ascii="Times New Roman" w:hAnsi="Times New Roman" w:cs="Times New Roman"/>
      </w:rPr>
    </w:lvl>
    <w:lvl w:ilvl="6">
      <w:start w:val="1"/>
      <w:numFmt w:val="none"/>
      <w:lvlText w:val="%7"/>
      <w:lvlJc w:val="left"/>
      <w:rPr>
        <w:rFonts w:ascii="Times New Roman" w:hAnsi="Times New Roman" w:cs="Times New Roman"/>
      </w:rPr>
    </w:lvl>
    <w:lvl w:ilvl="7">
      <w:start w:val="1"/>
      <w:numFmt w:val="none"/>
      <w:lvlText w:val="%8"/>
      <w:lvlJc w:val="left"/>
      <w:rPr>
        <w:rFonts w:ascii="Times New Roman" w:hAnsi="Times New Roman" w:cs="Times New Roman"/>
      </w:rPr>
    </w:lvl>
    <w:lvl w:ilvl="8">
      <w:start w:val="1"/>
      <w:numFmt w:val="none"/>
      <w:lvlText w:val="%9"/>
      <w:lvlJc w:val="left"/>
      <w:rPr>
        <w:rFonts w:ascii="Times New Roman" w:hAnsi="Times New Roman" w:cs="Times New Roman"/>
      </w:rPr>
    </w:lvl>
  </w:abstractNum>
  <w:abstractNum w:abstractNumId="10">
    <w:nsid w:val="4FDD1948"/>
    <w:multiLevelType w:val="multilevel"/>
    <w:tmpl w:val="056AF748"/>
    <w:lvl w:ilvl="0">
      <w:numFmt w:val="bullet"/>
      <w:lvlText w:val=""/>
      <w:lvlJc w:val="left"/>
      <w:pPr>
        <w:ind w:left="144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1">
    <w:nsid w:val="563873BF"/>
    <w:multiLevelType w:val="multilevel"/>
    <w:tmpl w:val="5DA6280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Times New Roman" w:hAnsi="Times New Roman" w:cs="Times New Roman"/>
      </w:rPr>
    </w:lvl>
    <w:lvl w:ilvl="2">
      <w:start w:val="1"/>
      <w:numFmt w:val="none"/>
      <w:lvlText w:val="%3"/>
      <w:lvlJc w:val="left"/>
      <w:rPr>
        <w:rFonts w:ascii="Times New Roman" w:hAnsi="Times New Roman" w:cs="Times New Roman"/>
      </w:rPr>
    </w:lvl>
    <w:lvl w:ilvl="3">
      <w:start w:val="1"/>
      <w:numFmt w:val="none"/>
      <w:lvlText w:val="%4"/>
      <w:lvlJc w:val="left"/>
      <w:rPr>
        <w:rFonts w:ascii="Times New Roman" w:hAnsi="Times New Roman" w:cs="Times New Roman"/>
      </w:rPr>
    </w:lvl>
    <w:lvl w:ilvl="4">
      <w:start w:val="1"/>
      <w:numFmt w:val="none"/>
      <w:lvlText w:val="%5"/>
      <w:lvlJc w:val="left"/>
      <w:rPr>
        <w:rFonts w:ascii="Times New Roman" w:hAnsi="Times New Roman" w:cs="Times New Roman"/>
      </w:rPr>
    </w:lvl>
    <w:lvl w:ilvl="5">
      <w:start w:val="1"/>
      <w:numFmt w:val="none"/>
      <w:lvlText w:val="%6"/>
      <w:lvlJc w:val="left"/>
      <w:rPr>
        <w:rFonts w:ascii="Times New Roman" w:hAnsi="Times New Roman" w:cs="Times New Roman"/>
      </w:rPr>
    </w:lvl>
    <w:lvl w:ilvl="6">
      <w:start w:val="1"/>
      <w:numFmt w:val="none"/>
      <w:lvlText w:val="%7"/>
      <w:lvlJc w:val="left"/>
      <w:rPr>
        <w:rFonts w:ascii="Times New Roman" w:hAnsi="Times New Roman" w:cs="Times New Roman"/>
      </w:rPr>
    </w:lvl>
    <w:lvl w:ilvl="7">
      <w:start w:val="1"/>
      <w:numFmt w:val="none"/>
      <w:lvlText w:val="%8"/>
      <w:lvlJc w:val="left"/>
      <w:rPr>
        <w:rFonts w:ascii="Times New Roman" w:hAnsi="Times New Roman" w:cs="Times New Roman"/>
      </w:rPr>
    </w:lvl>
    <w:lvl w:ilvl="8">
      <w:start w:val="1"/>
      <w:numFmt w:val="none"/>
      <w:lvlText w:val="%9"/>
      <w:lvlJc w:val="left"/>
      <w:rPr>
        <w:rFonts w:ascii="Times New Roman" w:hAnsi="Times New Roman" w:cs="Times New Roman"/>
      </w:rPr>
    </w:lvl>
  </w:abstractNum>
  <w:abstractNum w:abstractNumId="12">
    <w:nsid w:val="5D0C6214"/>
    <w:multiLevelType w:val="multilevel"/>
    <w:tmpl w:val="ED5A165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5FC305C1"/>
    <w:multiLevelType w:val="multilevel"/>
    <w:tmpl w:val="B76C3B6E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rPr>
        <w:rFonts w:ascii="Times New Roman" w:hAnsi="Times New Roman" w:cs="Times New Roman"/>
      </w:rPr>
    </w:lvl>
    <w:lvl w:ilvl="3">
      <w:start w:val="1"/>
      <w:numFmt w:val="none"/>
      <w:lvlText w:val=""/>
      <w:lvlJc w:val="left"/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rPr>
        <w:rFonts w:ascii="Times New Roman" w:hAnsi="Times New Roman" w:cs="Times New Roman"/>
      </w:rPr>
    </w:lvl>
  </w:abstractNum>
  <w:abstractNum w:abstractNumId="14">
    <w:nsid w:val="610263AC"/>
    <w:multiLevelType w:val="multilevel"/>
    <w:tmpl w:val="166CACC4"/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</w:rPr>
    </w:lvl>
  </w:abstractNum>
  <w:abstractNum w:abstractNumId="15">
    <w:nsid w:val="7B3B6066"/>
    <w:multiLevelType w:val="multilevel"/>
    <w:tmpl w:val="D59AF46A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>
    <w:nsid w:val="7BCA58E7"/>
    <w:multiLevelType w:val="multilevel"/>
    <w:tmpl w:val="CAD005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11"/>
  </w:num>
  <w:num w:numId="7">
    <w:abstractNumId w:val="15"/>
  </w:num>
  <w:num w:numId="8">
    <w:abstractNumId w:val="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3"/>
  </w:num>
  <w:num w:numId="12">
    <w:abstractNumId w:val="7"/>
  </w:num>
  <w:num w:numId="13">
    <w:abstractNumId w:val="10"/>
  </w:num>
  <w:num w:numId="14">
    <w:abstractNumId w:val="12"/>
  </w:num>
  <w:num w:numId="15">
    <w:abstractNumId w:val="1"/>
  </w:num>
  <w:num w:numId="16">
    <w:abstractNumId w:val="8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44"/>
    <w:rsid w:val="001C699E"/>
    <w:rsid w:val="00212F6B"/>
    <w:rsid w:val="002A0B44"/>
    <w:rsid w:val="003962A7"/>
    <w:rsid w:val="003B4E96"/>
    <w:rsid w:val="00AB4865"/>
    <w:rsid w:val="00C1686B"/>
    <w:rsid w:val="00CB01B1"/>
    <w:rsid w:val="00F2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4FC1006C"/>
  <w15:docId w15:val="{A4CF20C4-7FD7-41D8-BB42-7027EF6B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spacing w:after="200" w:line="276" w:lineRule="auto"/>
      <w:textAlignment w:val="baseline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1"/>
    <w:uiPriority w:val="99"/>
    <w:qFormat/>
    <w:pPr>
      <w:keepNext/>
      <w:keepLines/>
      <w:numPr>
        <w:numId w:val="1"/>
      </w:numPr>
      <w:suppressAutoHyphens w:val="0"/>
      <w:spacing w:before="480" w:after="0"/>
      <w:textAlignment w:val="auto"/>
      <w:outlineLvl w:val="0"/>
    </w:pPr>
    <w:rPr>
      <w:rFonts w:ascii="Cambria" w:hAnsi="Cambria" w:cs="Cambria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1"/>
    <w:uiPriority w:val="99"/>
    <w:qFormat/>
    <w:pPr>
      <w:keepNext/>
      <w:keepLines/>
      <w:suppressAutoHyphens w:val="0"/>
      <w:spacing w:before="200" w:after="0"/>
      <w:textAlignment w:val="auto"/>
      <w:outlineLvl w:val="1"/>
    </w:pPr>
    <w:rPr>
      <w:rFonts w:ascii="Cambria" w:hAnsi="Cambria" w:cs="Cambria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link w:val="Nadpis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link w:val="Nadpis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color w:val="auto"/>
      <w:sz w:val="24"/>
      <w:szCs w:val="24"/>
      <w:lang w:eastAsia="en-US"/>
    </w:rPr>
  </w:style>
  <w:style w:type="paragraph" w:styleId="Zhlav">
    <w:name w:val="header"/>
    <w:basedOn w:val="Normln"/>
    <w:link w:val="ZhlavChar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link w:val="Zhlav"/>
    <w:uiPriority w:val="99"/>
    <w:rPr>
      <w:rFonts w:ascii="Calibri" w:hAnsi="Calibri" w:cs="Calibri"/>
      <w:lang w:eastAsia="en-US"/>
    </w:rPr>
  </w:style>
  <w:style w:type="character" w:customStyle="1" w:styleId="ZhlavChar">
    <w:name w:val="Záhlaví Char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link w:val="Zpat"/>
    <w:uiPriority w:val="99"/>
    <w:rPr>
      <w:rFonts w:ascii="Calibri" w:hAnsi="Calibri" w:cs="Calibri"/>
      <w:lang w:eastAsia="en-US"/>
    </w:rPr>
  </w:style>
  <w:style w:type="character" w:customStyle="1" w:styleId="ZpatChar">
    <w:name w:val="Zápatí Char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">
    <w:name w:val="Text bubliny Char"/>
    <w:uiPriority w:val="99"/>
    <w:rPr>
      <w:rFonts w:ascii="Tahoma" w:hAnsi="Tahoma" w:cs="Tahoma"/>
      <w:sz w:val="16"/>
      <w:szCs w:val="16"/>
    </w:rPr>
  </w:style>
  <w:style w:type="character" w:customStyle="1" w:styleId="Nadpis1Char">
    <w:name w:val="Nadpis 1 Char"/>
    <w:uiPriority w:val="99"/>
    <w:rPr>
      <w:rFonts w:ascii="Cambria" w:hAnsi="Cambria" w:cs="Cambria"/>
      <w:b/>
      <w:bCs/>
      <w:sz w:val="28"/>
      <w:szCs w:val="28"/>
    </w:rPr>
  </w:style>
  <w:style w:type="character" w:customStyle="1" w:styleId="Nadpis2Char">
    <w:name w:val="Nadpis 2 Char"/>
    <w:uiPriority w:val="99"/>
    <w:rPr>
      <w:rFonts w:ascii="Cambria" w:hAnsi="Cambria" w:cs="Cambria"/>
      <w:b/>
      <w:bCs/>
      <w:sz w:val="26"/>
      <w:szCs w:val="26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Style1">
    <w:name w:val="Style 1"/>
    <w:uiPriority w:val="99"/>
    <w:pPr>
      <w:widowControl w:val="0"/>
      <w:autoSpaceDE w:val="0"/>
      <w:autoSpaceDN w:val="0"/>
    </w:pPr>
    <w:rPr>
      <w:rFonts w:cs="Calibri"/>
      <w:lang w:val="en-US"/>
    </w:rPr>
  </w:style>
  <w:style w:type="paragraph" w:customStyle="1" w:styleId="Style2">
    <w:name w:val="Style 2"/>
    <w:uiPriority w:val="99"/>
    <w:pPr>
      <w:widowControl w:val="0"/>
      <w:autoSpaceDE w:val="0"/>
      <w:autoSpaceDN w:val="0"/>
      <w:spacing w:line="312" w:lineRule="auto"/>
      <w:ind w:left="360"/>
    </w:pPr>
    <w:rPr>
      <w:rFonts w:cs="Calibri"/>
      <w:sz w:val="22"/>
      <w:szCs w:val="22"/>
      <w:lang w:val="en-US"/>
    </w:rPr>
  </w:style>
  <w:style w:type="character" w:customStyle="1" w:styleId="CharacterStyle1">
    <w:name w:val="Character Style 1"/>
    <w:uiPriority w:val="99"/>
    <w:rPr>
      <w:sz w:val="22"/>
      <w:szCs w:val="22"/>
    </w:rPr>
  </w:style>
  <w:style w:type="character" w:styleId="Odkaznakoment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pPr>
      <w:suppressAutoHyphens w:val="0"/>
      <w:spacing w:line="240" w:lineRule="auto"/>
      <w:textAlignment w:val="auto"/>
    </w:pPr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Pr>
      <w:rFonts w:ascii="Calibri" w:hAnsi="Calibri" w:cs="Calibri"/>
      <w:sz w:val="20"/>
      <w:szCs w:val="20"/>
      <w:lang w:eastAsia="en-US"/>
    </w:rPr>
  </w:style>
  <w:style w:type="character" w:customStyle="1" w:styleId="TextkomenteChar">
    <w:name w:val="Text komentáře Char"/>
    <w:uiPriority w:val="99"/>
    <w:rPr>
      <w:rFonts w:ascii="Times New Roman" w:hAnsi="Times New Roman" w:cs="Times New Roman"/>
      <w:sz w:val="20"/>
      <w:szCs w:val="20"/>
    </w:rPr>
  </w:style>
  <w:style w:type="paragraph" w:styleId="Zkladntext">
    <w:name w:val="Body Text"/>
    <w:basedOn w:val="Normln"/>
    <w:link w:val="ZkladntextChar1"/>
    <w:uiPriority w:val="99"/>
    <w:pPr>
      <w:spacing w:after="0" w:line="240" w:lineRule="auto"/>
      <w:jc w:val="center"/>
      <w:textAlignment w:val="auto"/>
    </w:pPr>
    <w:rPr>
      <w:b/>
      <w:bCs/>
      <w:sz w:val="28"/>
      <w:szCs w:val="28"/>
      <w:lang w:eastAsia="ar-SA"/>
    </w:rPr>
  </w:style>
  <w:style w:type="character" w:customStyle="1" w:styleId="ZkladntextChar1">
    <w:name w:val="Základní text Char1"/>
    <w:link w:val="Zkladntext"/>
    <w:uiPriority w:val="99"/>
    <w:rPr>
      <w:rFonts w:ascii="Calibri" w:hAnsi="Calibri" w:cs="Calibri"/>
      <w:lang w:eastAsia="en-US"/>
    </w:rPr>
  </w:style>
  <w:style w:type="character" w:customStyle="1" w:styleId="ZkladntextChar">
    <w:name w:val="Základní text Char"/>
    <w:uiPriority w:val="99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Odstavecseseznamem">
    <w:name w:val="List Paragraph"/>
    <w:basedOn w:val="Normln"/>
    <w:uiPriority w:val="99"/>
    <w:qFormat/>
    <w:pPr>
      <w:suppressAutoHyphens w:val="0"/>
      <w:ind w:left="720"/>
      <w:textAlignment w:val="auto"/>
    </w:pPr>
  </w:style>
  <w:style w:type="paragraph" w:customStyle="1" w:styleId="odrka">
    <w:name w:val="odrážka"/>
    <w:basedOn w:val="Normln"/>
    <w:uiPriority w:val="99"/>
    <w:pPr>
      <w:suppressAutoHyphens w:val="0"/>
      <w:spacing w:line="240" w:lineRule="auto"/>
      <w:ind w:left="720" w:hanging="360"/>
      <w:jc w:val="both"/>
      <w:textAlignment w:val="auto"/>
    </w:pPr>
    <w:rPr>
      <w:rFonts w:ascii="Arial" w:hAnsi="Arial" w:cs="Arial"/>
      <w:sz w:val="20"/>
      <w:szCs w:val="20"/>
    </w:rPr>
  </w:style>
  <w:style w:type="character" w:customStyle="1" w:styleId="odrkaChar">
    <w:name w:val="odrážka Char"/>
    <w:uiPriority w:val="99"/>
    <w:rPr>
      <w:rFonts w:ascii="Arial" w:hAnsi="Arial" w:cs="Arial"/>
      <w:sz w:val="20"/>
      <w:szCs w:val="20"/>
    </w:rPr>
  </w:style>
  <w:style w:type="paragraph" w:customStyle="1" w:styleId="BodySingle">
    <w:name w:val="Body Single"/>
    <w:basedOn w:val="Zkladntext"/>
    <w:uiPriority w:val="99"/>
    <w:pPr>
      <w:spacing w:before="80" w:after="120" w:line="240" w:lineRule="exact"/>
      <w:jc w:val="both"/>
    </w:pPr>
    <w:rPr>
      <w:b w:val="0"/>
      <w:bCs w:val="0"/>
      <w:sz w:val="24"/>
      <w:szCs w:val="24"/>
    </w:rPr>
  </w:style>
  <w:style w:type="paragraph" w:customStyle="1" w:styleId="TCRTEXT">
    <w:name w:val="TCR_TEXT"/>
    <w:uiPriority w:val="99"/>
    <w:pPr>
      <w:autoSpaceDN w:val="0"/>
      <w:spacing w:after="60" w:line="280" w:lineRule="exact"/>
      <w:jc w:val="both"/>
    </w:pPr>
    <w:rPr>
      <w:rFonts w:ascii="Arial" w:hAnsi="Arial" w:cs="Arial"/>
      <w:color w:val="000000"/>
      <w:sz w:val="19"/>
      <w:szCs w:val="19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pPr>
      <w:suppressAutoHyphens/>
      <w:textAlignment w:val="baseline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rPr>
      <w:rFonts w:ascii="Calibri" w:hAnsi="Calibri" w:cs="Calibri"/>
      <w:b/>
      <w:bCs/>
      <w:sz w:val="20"/>
      <w:szCs w:val="20"/>
      <w:lang w:eastAsia="en-US"/>
    </w:rPr>
  </w:style>
  <w:style w:type="paragraph" w:styleId="Bezmezer">
    <w:name w:val="No Spacing"/>
    <w:uiPriority w:val="99"/>
    <w:qFormat/>
    <w:pPr>
      <w:suppressAutoHyphens/>
      <w:autoSpaceDN w:val="0"/>
      <w:textAlignment w:val="baseline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OÚ Průhonice</Company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RVS Sekretariát</dc:creator>
  <cp:keywords/>
  <dc:description/>
  <cp:lastModifiedBy>aaa</cp:lastModifiedBy>
  <cp:revision>2</cp:revision>
  <dcterms:created xsi:type="dcterms:W3CDTF">2014-06-04T09:37:00Z</dcterms:created>
  <dcterms:modified xsi:type="dcterms:W3CDTF">2014-06-04T09:37:00Z</dcterms:modified>
</cp:coreProperties>
</file>