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988B1" w14:textId="77777777" w:rsidR="008F783A" w:rsidRDefault="008F783A" w:rsidP="008F783A">
      <w:pPr>
        <w:rPr>
          <w:lang w:eastAsia="cs-CZ"/>
        </w:rPr>
      </w:pPr>
    </w:p>
    <w:p w14:paraId="428CACB7" w14:textId="77777777" w:rsidR="008F783A" w:rsidRDefault="008F783A" w:rsidP="008F783A">
      <w:pPr>
        <w:rPr>
          <w:lang w:eastAsia="cs-CZ"/>
        </w:rPr>
      </w:pPr>
    </w:p>
    <w:p w14:paraId="559B3E9C" w14:textId="77777777" w:rsidR="0038493D" w:rsidRDefault="0038493D" w:rsidP="008F783A">
      <w:pPr>
        <w:rPr>
          <w:lang w:eastAsia="cs-CZ"/>
        </w:rPr>
      </w:pPr>
    </w:p>
    <w:p w14:paraId="6DA6323A" w14:textId="77777777" w:rsidR="0038493D" w:rsidRDefault="0038493D" w:rsidP="008F783A">
      <w:pPr>
        <w:rPr>
          <w:lang w:eastAsia="cs-CZ"/>
        </w:rPr>
      </w:pPr>
    </w:p>
    <w:p w14:paraId="3DA3D7DB" w14:textId="77777777" w:rsidR="0038493D" w:rsidRDefault="0038493D" w:rsidP="008F783A">
      <w:pPr>
        <w:rPr>
          <w:lang w:eastAsia="cs-CZ"/>
        </w:rPr>
      </w:pPr>
    </w:p>
    <w:p w14:paraId="06E9E36E" w14:textId="77777777" w:rsidR="0038493D" w:rsidRDefault="0038493D" w:rsidP="008F783A">
      <w:pPr>
        <w:rPr>
          <w:lang w:eastAsia="cs-CZ"/>
        </w:rPr>
      </w:pPr>
    </w:p>
    <w:p w14:paraId="3E87A3E8" w14:textId="77777777" w:rsidR="0038493D" w:rsidRDefault="0038493D" w:rsidP="008F783A">
      <w:pPr>
        <w:rPr>
          <w:lang w:eastAsia="cs-CZ"/>
        </w:rPr>
      </w:pPr>
    </w:p>
    <w:p w14:paraId="64E74099" w14:textId="77777777" w:rsidR="0038493D" w:rsidRDefault="0038493D" w:rsidP="008F783A">
      <w:pPr>
        <w:rPr>
          <w:lang w:eastAsia="cs-CZ"/>
        </w:rPr>
      </w:pPr>
    </w:p>
    <w:p w14:paraId="7B8B7F7D" w14:textId="77777777" w:rsidR="0038493D" w:rsidRDefault="0038493D" w:rsidP="008F783A">
      <w:pPr>
        <w:rPr>
          <w:lang w:eastAsia="cs-CZ"/>
        </w:rPr>
      </w:pPr>
    </w:p>
    <w:p w14:paraId="67D9D43F" w14:textId="77777777" w:rsidR="0038493D" w:rsidRDefault="0038493D" w:rsidP="008F783A">
      <w:pPr>
        <w:rPr>
          <w:lang w:eastAsia="cs-CZ"/>
        </w:rPr>
      </w:pPr>
    </w:p>
    <w:p w14:paraId="6325EE9B" w14:textId="77777777" w:rsidR="008F783A" w:rsidRDefault="008F783A" w:rsidP="008F783A">
      <w:pPr>
        <w:rPr>
          <w:lang w:eastAsia="cs-CZ"/>
        </w:rPr>
      </w:pPr>
    </w:p>
    <w:p w14:paraId="3F55B1F3" w14:textId="77777777" w:rsidR="008F783A" w:rsidRDefault="008F783A" w:rsidP="008F783A">
      <w:pPr>
        <w:rPr>
          <w:lang w:eastAsia="cs-CZ"/>
        </w:rPr>
      </w:pPr>
    </w:p>
    <w:p w14:paraId="57ADECF5" w14:textId="77777777" w:rsidR="008F783A" w:rsidRDefault="008F783A" w:rsidP="008F783A">
      <w:pPr>
        <w:rPr>
          <w:lang w:eastAsia="cs-CZ"/>
        </w:rPr>
      </w:pPr>
    </w:p>
    <w:p w14:paraId="2EC8390F" w14:textId="77777777" w:rsidR="008F783A" w:rsidRPr="00FB038B" w:rsidRDefault="008F783A" w:rsidP="008F783A">
      <w:pPr>
        <w:rPr>
          <w:lang w:eastAsia="cs-CZ"/>
        </w:rPr>
      </w:pPr>
    </w:p>
    <w:p w14:paraId="13FDB26A" w14:textId="65829C0D" w:rsidR="008F783A" w:rsidRPr="000F7E80" w:rsidRDefault="00D52D83" w:rsidP="008F783A">
      <w:pPr>
        <w:pStyle w:val="Nzevdokumentu"/>
      </w:pPr>
      <w:r>
        <w:t>ZADÁVACÍ DOKUMENTACE</w:t>
      </w:r>
    </w:p>
    <w:p w14:paraId="06B24442" w14:textId="77777777" w:rsidR="008F783A" w:rsidRPr="000F7E80" w:rsidRDefault="008F783A" w:rsidP="008F783A">
      <w:pPr>
        <w:rPr>
          <w:rFonts w:cstheme="minorHAnsi"/>
          <w:lang w:eastAsia="cs-CZ"/>
        </w:rPr>
      </w:pPr>
    </w:p>
    <w:p w14:paraId="7FF150D8" w14:textId="77777777" w:rsidR="008F783A" w:rsidRPr="000F7E80" w:rsidRDefault="008F783A" w:rsidP="008F783A">
      <w:pPr>
        <w:rPr>
          <w:rFonts w:cstheme="minorHAnsi"/>
          <w:lang w:eastAsia="cs-CZ"/>
        </w:rPr>
      </w:pPr>
    </w:p>
    <w:p w14:paraId="67B76980" w14:textId="77777777" w:rsidR="008F783A" w:rsidRPr="000F7E80" w:rsidRDefault="008F783A" w:rsidP="008F783A">
      <w:pPr>
        <w:rPr>
          <w:rFonts w:cstheme="minorHAnsi"/>
          <w:lang w:eastAsia="cs-CZ"/>
        </w:rPr>
      </w:pPr>
    </w:p>
    <w:p w14:paraId="0257373C" w14:textId="77777777" w:rsidR="008F783A" w:rsidRPr="000F7E80" w:rsidRDefault="008F783A" w:rsidP="008F783A">
      <w:pPr>
        <w:rPr>
          <w:rFonts w:cstheme="minorHAnsi"/>
          <w:lang w:eastAsia="cs-CZ"/>
        </w:rPr>
      </w:pPr>
    </w:p>
    <w:p w14:paraId="66EEA334" w14:textId="70D15D73" w:rsidR="008F783A" w:rsidRPr="0063253E" w:rsidRDefault="008F783A" w:rsidP="008F783A">
      <w:pPr>
        <w:pStyle w:val="Nzevdokumentu"/>
        <w:rPr>
          <w:caps w:val="0"/>
        </w:rPr>
      </w:pPr>
      <w:r w:rsidRPr="0063253E">
        <w:rPr>
          <w:caps w:val="0"/>
        </w:rPr>
        <w:t>„</w:t>
      </w:r>
      <w:r w:rsidR="00C608AE" w:rsidRPr="00C608AE">
        <w:rPr>
          <w:caps w:val="0"/>
        </w:rPr>
        <w:t xml:space="preserve">Základní vybavení laserové laboratoře – optika a </w:t>
      </w:r>
      <w:proofErr w:type="spellStart"/>
      <w:r w:rsidR="00C608AE" w:rsidRPr="00C608AE">
        <w:rPr>
          <w:caps w:val="0"/>
        </w:rPr>
        <w:t>optomechanika</w:t>
      </w:r>
      <w:proofErr w:type="spellEnd"/>
      <w:r w:rsidR="00C608AE" w:rsidRPr="00C608AE">
        <w:rPr>
          <w:caps w:val="0"/>
        </w:rPr>
        <w:t xml:space="preserve"> II</w:t>
      </w:r>
      <w:r w:rsidR="00C608AE">
        <w:rPr>
          <w:caps w:val="0"/>
        </w:rPr>
        <w:t>I</w:t>
      </w:r>
      <w:r w:rsidR="00C608AE" w:rsidRPr="00C608AE">
        <w:rPr>
          <w:caps w:val="0"/>
        </w:rPr>
        <w:t>.</w:t>
      </w:r>
      <w:r w:rsidRPr="0063253E">
        <w:rPr>
          <w:caps w:val="0"/>
        </w:rPr>
        <w:t>“</w:t>
      </w:r>
    </w:p>
    <w:p w14:paraId="6BF7FAC0" w14:textId="77777777" w:rsidR="008F783A" w:rsidRPr="00FB038B" w:rsidRDefault="008F783A" w:rsidP="008F783A">
      <w:pPr>
        <w:rPr>
          <w:lang w:eastAsia="cs-CZ"/>
        </w:rPr>
      </w:pPr>
    </w:p>
    <w:p w14:paraId="235B8812" w14:textId="77777777" w:rsidR="008F783A" w:rsidRDefault="008F783A" w:rsidP="008F783A">
      <w:pPr>
        <w:jc w:val="center"/>
        <w:rPr>
          <w:lang w:eastAsia="cs-CZ"/>
        </w:rPr>
      </w:pPr>
    </w:p>
    <w:p w14:paraId="097FD8CF" w14:textId="77777777" w:rsidR="008F783A" w:rsidRDefault="008F783A" w:rsidP="008F783A">
      <w:pPr>
        <w:jc w:val="center"/>
        <w:rPr>
          <w:lang w:eastAsia="cs-CZ"/>
        </w:rPr>
      </w:pPr>
    </w:p>
    <w:p w14:paraId="08AD2E81" w14:textId="77777777" w:rsidR="008F783A" w:rsidRDefault="008F783A" w:rsidP="008F783A"/>
    <w:p w14:paraId="76DDD244" w14:textId="77777777" w:rsidR="008F783A" w:rsidRDefault="008F783A" w:rsidP="008F783A"/>
    <w:p w14:paraId="36D87EE1" w14:textId="77777777" w:rsidR="008F783A" w:rsidRDefault="008F783A" w:rsidP="008F783A"/>
    <w:p w14:paraId="2A88411A" w14:textId="77777777" w:rsidR="008F783A" w:rsidRDefault="008F783A" w:rsidP="008F783A"/>
    <w:p w14:paraId="4836413C" w14:textId="64482D31" w:rsidR="008F783A" w:rsidRDefault="008F783A" w:rsidP="008F783A"/>
    <w:p w14:paraId="64717CE0" w14:textId="77777777" w:rsidR="008F783A" w:rsidRDefault="008F783A" w:rsidP="008F783A"/>
    <w:p w14:paraId="70D094A8" w14:textId="77777777" w:rsidR="008F783A" w:rsidRDefault="008F783A" w:rsidP="008F783A"/>
    <w:p w14:paraId="0CE3F7D5" w14:textId="77777777" w:rsidR="008F783A" w:rsidRDefault="008F783A" w:rsidP="008F783A"/>
    <w:p w14:paraId="20A7512A" w14:textId="77777777" w:rsidR="008F783A" w:rsidRDefault="008F783A" w:rsidP="008F783A"/>
    <w:p w14:paraId="46933619" w14:textId="2AB0752A" w:rsidR="0038493D" w:rsidRDefault="0038493D">
      <w:pPr>
        <w:spacing w:after="160" w:line="259" w:lineRule="auto"/>
        <w:jc w:val="left"/>
      </w:pPr>
      <w:r>
        <w:br w:type="page"/>
      </w:r>
    </w:p>
    <w:p w14:paraId="08E4A30D" w14:textId="121D63CC" w:rsidR="00802DBD" w:rsidRPr="004B5339" w:rsidRDefault="00802DBD" w:rsidP="00802DBD">
      <w:pPr>
        <w:pStyle w:val="Nadpis1"/>
      </w:pPr>
      <w:bookmarkStart w:id="0" w:name="_Toc88903667"/>
      <w:r w:rsidRPr="004B5339">
        <w:lastRenderedPageBreak/>
        <w:t xml:space="preserve">Identifikační </w:t>
      </w:r>
      <w:bookmarkEnd w:id="0"/>
      <w:r w:rsidR="00DF5F88" w:rsidRPr="004B5339">
        <w:t xml:space="preserve">údaje </w:t>
      </w:r>
    </w:p>
    <w:p w14:paraId="464FF134" w14:textId="77777777" w:rsidR="00802DBD" w:rsidRPr="00D02305" w:rsidRDefault="00802DBD" w:rsidP="00802DBD">
      <w:pPr>
        <w:rPr>
          <w:szCs w:val="22"/>
        </w:rPr>
      </w:pPr>
    </w:p>
    <w:tbl>
      <w:tblPr>
        <w:tblStyle w:val="Mkatabulky"/>
        <w:tblW w:w="921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943"/>
        <w:gridCol w:w="6269"/>
      </w:tblGrid>
      <w:tr w:rsidR="00726361" w:rsidRPr="000305B2" w14:paraId="402D0BBC" w14:textId="77777777" w:rsidTr="00726361">
        <w:trPr>
          <w:trHeight w:val="397"/>
        </w:trPr>
        <w:tc>
          <w:tcPr>
            <w:tcW w:w="2943" w:type="dxa"/>
            <w:vAlign w:val="center"/>
          </w:tcPr>
          <w:p w14:paraId="03E53CAC" w14:textId="16BD383E" w:rsidR="00726361" w:rsidRPr="00726361" w:rsidRDefault="00726361" w:rsidP="00726361">
            <w:pPr>
              <w:jc w:val="left"/>
              <w:rPr>
                <w:sz w:val="22"/>
                <w:szCs w:val="22"/>
              </w:rPr>
            </w:pPr>
            <w:bookmarkStart w:id="1" w:name="_Hlk478133186"/>
            <w:r w:rsidRPr="00726361">
              <w:rPr>
                <w:sz w:val="22"/>
                <w:szCs w:val="22"/>
              </w:rPr>
              <w:t>Název zadavatele</w:t>
            </w:r>
          </w:p>
        </w:tc>
        <w:tc>
          <w:tcPr>
            <w:tcW w:w="6269" w:type="dxa"/>
            <w:vAlign w:val="center"/>
          </w:tcPr>
          <w:p w14:paraId="0C5551BA" w14:textId="0D19B37B" w:rsidR="00726361" w:rsidRPr="009C3AE9" w:rsidRDefault="00726361" w:rsidP="00726361">
            <w:pPr>
              <w:tabs>
                <w:tab w:val="left" w:pos="2070"/>
              </w:tabs>
              <w:jc w:val="left"/>
              <w:rPr>
                <w:b/>
                <w:bCs/>
                <w:sz w:val="22"/>
                <w:szCs w:val="22"/>
              </w:rPr>
            </w:pPr>
            <w:r w:rsidRPr="009C3AE9">
              <w:rPr>
                <w:b/>
                <w:bCs/>
                <w:sz w:val="22"/>
                <w:szCs w:val="22"/>
              </w:rPr>
              <w:t>Fyzikální ústav AV ČR, v. v. i.</w:t>
            </w:r>
          </w:p>
        </w:tc>
      </w:tr>
      <w:tr w:rsidR="00726361" w:rsidRPr="000305B2" w14:paraId="5B7C7B77" w14:textId="77777777" w:rsidTr="00726361">
        <w:trPr>
          <w:trHeight w:val="397"/>
        </w:trPr>
        <w:tc>
          <w:tcPr>
            <w:tcW w:w="2943" w:type="dxa"/>
            <w:vAlign w:val="center"/>
          </w:tcPr>
          <w:p w14:paraId="1B2809DC" w14:textId="670A35CD" w:rsidR="00726361" w:rsidRPr="00726361" w:rsidRDefault="00726361" w:rsidP="00726361">
            <w:pPr>
              <w:jc w:val="left"/>
              <w:rPr>
                <w:sz w:val="22"/>
                <w:szCs w:val="22"/>
              </w:rPr>
            </w:pPr>
            <w:r w:rsidRPr="00726361">
              <w:rPr>
                <w:sz w:val="22"/>
                <w:szCs w:val="22"/>
              </w:rPr>
              <w:t>Sídlo</w:t>
            </w:r>
          </w:p>
        </w:tc>
        <w:tc>
          <w:tcPr>
            <w:tcW w:w="6269" w:type="dxa"/>
            <w:vAlign w:val="center"/>
          </w:tcPr>
          <w:p w14:paraId="6A0EF93D" w14:textId="704F8C9B" w:rsidR="00726361" w:rsidRPr="00726361" w:rsidRDefault="00726361" w:rsidP="00726361">
            <w:pPr>
              <w:jc w:val="left"/>
              <w:rPr>
                <w:rFonts w:asciiTheme="minorHAnsi" w:hAnsiTheme="minorHAnsi" w:cstheme="minorHAnsi"/>
                <w:sz w:val="22"/>
                <w:szCs w:val="22"/>
              </w:rPr>
            </w:pPr>
            <w:r w:rsidRPr="00726361">
              <w:rPr>
                <w:sz w:val="22"/>
                <w:szCs w:val="22"/>
              </w:rPr>
              <w:t>Na Slovance 2, 182 21 Praha 8</w:t>
            </w:r>
          </w:p>
        </w:tc>
      </w:tr>
      <w:tr w:rsidR="00726361" w:rsidRPr="000305B2" w14:paraId="1722E184" w14:textId="77777777" w:rsidTr="00726361">
        <w:trPr>
          <w:trHeight w:val="397"/>
        </w:trPr>
        <w:tc>
          <w:tcPr>
            <w:tcW w:w="2943" w:type="dxa"/>
            <w:vAlign w:val="center"/>
          </w:tcPr>
          <w:p w14:paraId="51996A0F" w14:textId="33B97CB8" w:rsidR="00726361" w:rsidRPr="00726361" w:rsidRDefault="00726361" w:rsidP="00726361">
            <w:pPr>
              <w:jc w:val="left"/>
              <w:rPr>
                <w:sz w:val="22"/>
                <w:szCs w:val="22"/>
              </w:rPr>
            </w:pPr>
            <w:r w:rsidRPr="00726361">
              <w:rPr>
                <w:sz w:val="22"/>
                <w:szCs w:val="22"/>
              </w:rPr>
              <w:t>IČO</w:t>
            </w:r>
          </w:p>
        </w:tc>
        <w:tc>
          <w:tcPr>
            <w:tcW w:w="6269" w:type="dxa"/>
            <w:vAlign w:val="center"/>
          </w:tcPr>
          <w:p w14:paraId="05869586" w14:textId="07E1DC36" w:rsidR="00726361" w:rsidRPr="00726361" w:rsidRDefault="00726361" w:rsidP="00726361">
            <w:pPr>
              <w:jc w:val="left"/>
              <w:rPr>
                <w:sz w:val="22"/>
                <w:szCs w:val="22"/>
              </w:rPr>
            </w:pPr>
            <w:r w:rsidRPr="00726361">
              <w:rPr>
                <w:sz w:val="22"/>
                <w:szCs w:val="22"/>
              </w:rPr>
              <w:t>68378271</w:t>
            </w:r>
          </w:p>
        </w:tc>
      </w:tr>
      <w:tr w:rsidR="00726361" w:rsidRPr="000305B2" w14:paraId="648DF0B7" w14:textId="77777777" w:rsidTr="00726361">
        <w:trPr>
          <w:trHeight w:val="397"/>
        </w:trPr>
        <w:tc>
          <w:tcPr>
            <w:tcW w:w="2943" w:type="dxa"/>
            <w:vAlign w:val="center"/>
          </w:tcPr>
          <w:p w14:paraId="30324265" w14:textId="19E9B7C2" w:rsidR="00726361" w:rsidRPr="00726361" w:rsidRDefault="00726361" w:rsidP="00726361">
            <w:pPr>
              <w:spacing w:line="240" w:lineRule="auto"/>
              <w:jc w:val="left"/>
              <w:rPr>
                <w:sz w:val="22"/>
                <w:szCs w:val="22"/>
              </w:rPr>
            </w:pPr>
            <w:r w:rsidRPr="00726361">
              <w:rPr>
                <w:sz w:val="22"/>
                <w:szCs w:val="22"/>
              </w:rPr>
              <w:t>Osoba oprávněná jednat za zadavatele</w:t>
            </w:r>
          </w:p>
        </w:tc>
        <w:tc>
          <w:tcPr>
            <w:tcW w:w="6269" w:type="dxa"/>
            <w:vAlign w:val="center"/>
          </w:tcPr>
          <w:p w14:paraId="4B9314B3" w14:textId="1B9C1247" w:rsidR="00726361" w:rsidRPr="00726361" w:rsidRDefault="00726361" w:rsidP="00726361">
            <w:pPr>
              <w:jc w:val="left"/>
              <w:rPr>
                <w:sz w:val="22"/>
                <w:szCs w:val="22"/>
              </w:rPr>
            </w:pPr>
            <w:r w:rsidRPr="00726361">
              <w:rPr>
                <w:sz w:val="22"/>
                <w:szCs w:val="22"/>
              </w:rPr>
              <w:t>RNDr. Michael Prouza, Ph.D., ředitel</w:t>
            </w:r>
          </w:p>
        </w:tc>
      </w:tr>
      <w:bookmarkEnd w:id="1"/>
    </w:tbl>
    <w:p w14:paraId="34588694" w14:textId="77777777" w:rsidR="00802DBD" w:rsidRPr="000305B2" w:rsidRDefault="00802DBD" w:rsidP="00802DBD">
      <w:pPr>
        <w:rPr>
          <w:szCs w:val="22"/>
        </w:rPr>
      </w:pPr>
    </w:p>
    <w:tbl>
      <w:tblPr>
        <w:tblStyle w:val="Mkatabulky"/>
        <w:tblW w:w="921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2954"/>
        <w:gridCol w:w="6258"/>
      </w:tblGrid>
      <w:tr w:rsidR="00466D22" w:rsidRPr="000305B2" w14:paraId="219D9734" w14:textId="77777777" w:rsidTr="00BC6AA7">
        <w:trPr>
          <w:trHeight w:val="397"/>
        </w:trPr>
        <w:tc>
          <w:tcPr>
            <w:tcW w:w="2954" w:type="dxa"/>
            <w:vAlign w:val="center"/>
          </w:tcPr>
          <w:p w14:paraId="432FBD66" w14:textId="2ED57ED2" w:rsidR="00466D22" w:rsidRPr="00466D22" w:rsidRDefault="00466D22" w:rsidP="00466D22">
            <w:pPr>
              <w:rPr>
                <w:sz w:val="22"/>
                <w:szCs w:val="22"/>
              </w:rPr>
            </w:pPr>
            <w:bookmarkStart w:id="2" w:name="_Hlk478133174"/>
            <w:r w:rsidRPr="00466D22">
              <w:rPr>
                <w:sz w:val="22"/>
                <w:szCs w:val="22"/>
              </w:rPr>
              <w:t>Název veřejné zakázky</w:t>
            </w:r>
          </w:p>
        </w:tc>
        <w:tc>
          <w:tcPr>
            <w:tcW w:w="6258" w:type="dxa"/>
            <w:vAlign w:val="center"/>
          </w:tcPr>
          <w:p w14:paraId="1981BF89" w14:textId="1786B7CA" w:rsidR="00466D22" w:rsidRPr="002066DE" w:rsidRDefault="0035797C" w:rsidP="0035797C">
            <w:pPr>
              <w:jc w:val="left"/>
              <w:rPr>
                <w:b/>
                <w:bCs/>
                <w:sz w:val="22"/>
                <w:szCs w:val="22"/>
              </w:rPr>
            </w:pPr>
            <w:r w:rsidRPr="0035797C">
              <w:rPr>
                <w:rFonts w:eastAsia="Times New Roman"/>
                <w:b/>
                <w:bCs/>
                <w:sz w:val="22"/>
                <w:szCs w:val="22"/>
              </w:rPr>
              <w:t>Základní vybavení laserové laboratoře – optika a</w:t>
            </w:r>
            <w:r>
              <w:rPr>
                <w:rFonts w:eastAsia="Times New Roman"/>
                <w:b/>
                <w:bCs/>
                <w:sz w:val="22"/>
                <w:szCs w:val="22"/>
              </w:rPr>
              <w:t> </w:t>
            </w:r>
            <w:proofErr w:type="spellStart"/>
            <w:r w:rsidRPr="0035797C">
              <w:rPr>
                <w:rFonts w:eastAsia="Times New Roman"/>
                <w:b/>
                <w:bCs/>
                <w:sz w:val="22"/>
                <w:szCs w:val="22"/>
              </w:rPr>
              <w:t>optomechanika</w:t>
            </w:r>
            <w:proofErr w:type="spellEnd"/>
            <w:r>
              <w:rPr>
                <w:rFonts w:eastAsia="Times New Roman"/>
                <w:b/>
                <w:bCs/>
                <w:sz w:val="22"/>
                <w:szCs w:val="22"/>
              </w:rPr>
              <w:t> </w:t>
            </w:r>
            <w:r w:rsidRPr="0035797C">
              <w:rPr>
                <w:rFonts w:eastAsia="Times New Roman"/>
                <w:b/>
                <w:bCs/>
                <w:sz w:val="22"/>
                <w:szCs w:val="22"/>
              </w:rPr>
              <w:t>II</w:t>
            </w:r>
            <w:r>
              <w:rPr>
                <w:rFonts w:eastAsia="Times New Roman"/>
                <w:b/>
                <w:bCs/>
                <w:sz w:val="22"/>
                <w:szCs w:val="22"/>
              </w:rPr>
              <w:t>I</w:t>
            </w:r>
            <w:r w:rsidRPr="0035797C">
              <w:rPr>
                <w:rFonts w:eastAsia="Times New Roman"/>
                <w:b/>
                <w:bCs/>
                <w:sz w:val="22"/>
                <w:szCs w:val="22"/>
              </w:rPr>
              <w:t>.</w:t>
            </w:r>
          </w:p>
        </w:tc>
      </w:tr>
      <w:tr w:rsidR="00466D22" w:rsidRPr="000305B2" w14:paraId="4DCA17C5" w14:textId="77777777" w:rsidTr="00BC6AA7">
        <w:trPr>
          <w:trHeight w:val="397"/>
        </w:trPr>
        <w:tc>
          <w:tcPr>
            <w:tcW w:w="2954" w:type="dxa"/>
            <w:vAlign w:val="center"/>
          </w:tcPr>
          <w:p w14:paraId="35BE74B7" w14:textId="700489F9" w:rsidR="00466D22" w:rsidRPr="00466D22" w:rsidRDefault="00466D22" w:rsidP="00466D22">
            <w:pPr>
              <w:rPr>
                <w:sz w:val="22"/>
                <w:szCs w:val="22"/>
              </w:rPr>
            </w:pPr>
            <w:r w:rsidRPr="00466D22">
              <w:rPr>
                <w:sz w:val="22"/>
                <w:szCs w:val="22"/>
              </w:rPr>
              <w:t>Druh veřejné zakázky</w:t>
            </w:r>
          </w:p>
        </w:tc>
        <w:tc>
          <w:tcPr>
            <w:tcW w:w="6258" w:type="dxa"/>
            <w:vAlign w:val="center"/>
          </w:tcPr>
          <w:p w14:paraId="66906D9D" w14:textId="78D95C83" w:rsidR="00466D22" w:rsidRPr="00466D22" w:rsidRDefault="00466D22" w:rsidP="00466D22">
            <w:pPr>
              <w:jc w:val="left"/>
              <w:rPr>
                <w:sz w:val="22"/>
                <w:szCs w:val="22"/>
              </w:rPr>
            </w:pPr>
            <w:r w:rsidRPr="00466D22">
              <w:rPr>
                <w:sz w:val="22"/>
                <w:szCs w:val="22"/>
              </w:rPr>
              <w:t>veřejná zakázka na dodávky</w:t>
            </w:r>
          </w:p>
        </w:tc>
      </w:tr>
      <w:tr w:rsidR="00466D22" w:rsidRPr="000305B2" w14:paraId="3DE71DE1" w14:textId="77777777" w:rsidTr="00BC6AA7">
        <w:trPr>
          <w:trHeight w:val="397"/>
        </w:trPr>
        <w:tc>
          <w:tcPr>
            <w:tcW w:w="2954" w:type="dxa"/>
            <w:vAlign w:val="center"/>
          </w:tcPr>
          <w:p w14:paraId="5CFEC472" w14:textId="4F35E2D6" w:rsidR="00466D22" w:rsidRPr="00466D22" w:rsidRDefault="00466D22" w:rsidP="00466D22">
            <w:pPr>
              <w:rPr>
                <w:sz w:val="22"/>
                <w:szCs w:val="22"/>
              </w:rPr>
            </w:pPr>
            <w:r w:rsidRPr="00466D22">
              <w:rPr>
                <w:sz w:val="22"/>
                <w:szCs w:val="22"/>
              </w:rPr>
              <w:t>Profil zadavatele</w:t>
            </w:r>
          </w:p>
        </w:tc>
        <w:tc>
          <w:tcPr>
            <w:tcW w:w="6258" w:type="dxa"/>
            <w:vAlign w:val="center"/>
          </w:tcPr>
          <w:p w14:paraId="3B962147" w14:textId="77777777" w:rsidR="00466D22" w:rsidRPr="00466D22" w:rsidRDefault="00466D22" w:rsidP="00466D22">
            <w:pPr>
              <w:pStyle w:val="Tab"/>
              <w:rPr>
                <w:sz w:val="22"/>
              </w:rPr>
            </w:pPr>
            <w:hyperlink r:id="rId10" w:history="1">
              <w:r w:rsidRPr="00466D22">
                <w:rPr>
                  <w:rStyle w:val="Hypertextovodkaz"/>
                  <w:sz w:val="22"/>
                </w:rPr>
                <w:t>http://www.e-zakazky.cz/Profil-Zadavatele/74e987e1-b4a1-4571-b8b6-2cd93fe6f932</w:t>
              </w:r>
            </w:hyperlink>
          </w:p>
          <w:p w14:paraId="09876EB9" w14:textId="77777777" w:rsidR="00466D22" w:rsidRPr="00466D22" w:rsidRDefault="00466D22" w:rsidP="00466D22">
            <w:pPr>
              <w:pStyle w:val="Tab"/>
              <w:rPr>
                <w:sz w:val="22"/>
              </w:rPr>
            </w:pPr>
            <w:r w:rsidRPr="00466D22">
              <w:rPr>
                <w:sz w:val="22"/>
              </w:rPr>
              <w:t>(profil zadavatele)</w:t>
            </w:r>
          </w:p>
          <w:p w14:paraId="2BAF5F16" w14:textId="77777777" w:rsidR="00466D22" w:rsidRPr="00466D22" w:rsidRDefault="00466D22" w:rsidP="00466D22">
            <w:pPr>
              <w:pStyle w:val="Tab"/>
              <w:rPr>
                <w:sz w:val="22"/>
              </w:rPr>
            </w:pPr>
          </w:p>
          <w:p w14:paraId="01DFAB75" w14:textId="77777777" w:rsidR="00466D22" w:rsidRPr="00466D22" w:rsidRDefault="00466D22" w:rsidP="00466D22">
            <w:pPr>
              <w:pStyle w:val="Tab"/>
              <w:rPr>
                <w:sz w:val="22"/>
              </w:rPr>
            </w:pPr>
            <w:hyperlink r:id="rId11" w:history="1">
              <w:r w:rsidRPr="00466D22">
                <w:rPr>
                  <w:rStyle w:val="Hypertextovodkaz"/>
                  <w:sz w:val="22"/>
                </w:rPr>
                <w:t>https://www.tenderarena.cz/profily/FZU</w:t>
              </w:r>
            </w:hyperlink>
          </w:p>
          <w:p w14:paraId="34C32820" w14:textId="7CC16085" w:rsidR="00466D22" w:rsidRPr="00466D22" w:rsidRDefault="00466D22" w:rsidP="00466D22">
            <w:pPr>
              <w:jc w:val="left"/>
              <w:rPr>
                <w:sz w:val="22"/>
                <w:szCs w:val="22"/>
              </w:rPr>
            </w:pPr>
            <w:r w:rsidRPr="00466D22">
              <w:rPr>
                <w:sz w:val="22"/>
                <w:szCs w:val="22"/>
              </w:rPr>
              <w:t>(elektronický nástroj, prostřednictvím kterého budou podávány nabídky)</w:t>
            </w:r>
          </w:p>
        </w:tc>
      </w:tr>
      <w:tr w:rsidR="00466D22" w:rsidRPr="000305B2" w14:paraId="7E4E08BC" w14:textId="77777777" w:rsidTr="00BC6AA7">
        <w:trPr>
          <w:trHeight w:val="397"/>
        </w:trPr>
        <w:tc>
          <w:tcPr>
            <w:tcW w:w="2954" w:type="dxa"/>
            <w:vAlign w:val="center"/>
          </w:tcPr>
          <w:p w14:paraId="5D0C5119" w14:textId="326FFDF0" w:rsidR="00466D22" w:rsidRPr="00466D22" w:rsidRDefault="00466D22" w:rsidP="00466D22">
            <w:pPr>
              <w:jc w:val="left"/>
              <w:rPr>
                <w:sz w:val="22"/>
                <w:szCs w:val="22"/>
              </w:rPr>
            </w:pPr>
            <w:r w:rsidRPr="00466D22">
              <w:rPr>
                <w:sz w:val="22"/>
                <w:szCs w:val="22"/>
              </w:rPr>
              <w:t>Konec lhůty pro podání nabídek</w:t>
            </w:r>
          </w:p>
        </w:tc>
        <w:tc>
          <w:tcPr>
            <w:tcW w:w="6258" w:type="dxa"/>
            <w:vAlign w:val="center"/>
          </w:tcPr>
          <w:p w14:paraId="3C9013A2" w14:textId="3518481F" w:rsidR="00466D22" w:rsidRPr="00466D22" w:rsidRDefault="00E469F9" w:rsidP="00466D22">
            <w:pPr>
              <w:jc w:val="left"/>
              <w:rPr>
                <w:b/>
                <w:sz w:val="22"/>
                <w:szCs w:val="22"/>
              </w:rPr>
            </w:pPr>
            <w:r>
              <w:rPr>
                <w:b/>
                <w:bCs/>
                <w:sz w:val="22"/>
                <w:szCs w:val="22"/>
              </w:rPr>
              <w:t>31. 1. 2025, 10:00</w:t>
            </w:r>
          </w:p>
        </w:tc>
      </w:tr>
      <w:bookmarkEnd w:id="2"/>
    </w:tbl>
    <w:p w14:paraId="12B2212A" w14:textId="77777777" w:rsidR="00802DBD" w:rsidRPr="000305B2" w:rsidRDefault="00802DBD" w:rsidP="00802DBD">
      <w:pPr>
        <w:rPr>
          <w:szCs w:val="22"/>
        </w:rPr>
      </w:pPr>
    </w:p>
    <w:tbl>
      <w:tblPr>
        <w:tblStyle w:val="Mkatabulky"/>
        <w:tblW w:w="921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943"/>
        <w:gridCol w:w="6269"/>
      </w:tblGrid>
      <w:tr w:rsidR="00802DBD" w:rsidRPr="000305B2" w14:paraId="668C945E" w14:textId="77777777" w:rsidTr="00BC6AA7">
        <w:trPr>
          <w:trHeight w:val="397"/>
        </w:trPr>
        <w:tc>
          <w:tcPr>
            <w:tcW w:w="2943" w:type="dxa"/>
            <w:vAlign w:val="center"/>
          </w:tcPr>
          <w:p w14:paraId="56AF0E51" w14:textId="77777777" w:rsidR="00802DBD" w:rsidRPr="00802CBC" w:rsidRDefault="00802DBD" w:rsidP="00BC6AA7">
            <w:pPr>
              <w:rPr>
                <w:sz w:val="22"/>
                <w:szCs w:val="22"/>
              </w:rPr>
            </w:pPr>
            <w:r w:rsidRPr="00802CBC">
              <w:rPr>
                <w:rFonts w:cs="Calibri"/>
                <w:sz w:val="22"/>
                <w:szCs w:val="22"/>
              </w:rPr>
              <w:t>Zástupce zadavatele</w:t>
            </w:r>
          </w:p>
        </w:tc>
        <w:tc>
          <w:tcPr>
            <w:tcW w:w="6269" w:type="dxa"/>
            <w:vAlign w:val="center"/>
          </w:tcPr>
          <w:p w14:paraId="14C50CE6" w14:textId="77777777" w:rsidR="00802DBD" w:rsidRPr="00802CBC" w:rsidRDefault="00802DBD" w:rsidP="00BC6AA7">
            <w:pPr>
              <w:tabs>
                <w:tab w:val="left" w:pos="2070"/>
              </w:tabs>
              <w:jc w:val="left"/>
              <w:rPr>
                <w:b/>
                <w:sz w:val="22"/>
                <w:szCs w:val="22"/>
              </w:rPr>
            </w:pPr>
            <w:r w:rsidRPr="00802CBC">
              <w:rPr>
                <w:b/>
                <w:sz w:val="22"/>
                <w:szCs w:val="22"/>
              </w:rPr>
              <w:t>KAROLAS Legal s.r.o., advokátní kancelář</w:t>
            </w:r>
          </w:p>
        </w:tc>
      </w:tr>
      <w:tr w:rsidR="00802DBD" w:rsidRPr="000305B2" w14:paraId="1711E2DA" w14:textId="77777777" w:rsidTr="00BC6AA7">
        <w:trPr>
          <w:trHeight w:val="397"/>
        </w:trPr>
        <w:tc>
          <w:tcPr>
            <w:tcW w:w="2943" w:type="dxa"/>
            <w:vAlign w:val="center"/>
          </w:tcPr>
          <w:p w14:paraId="3A24B88F" w14:textId="77777777" w:rsidR="00802DBD" w:rsidRPr="00802CBC" w:rsidRDefault="00802DBD" w:rsidP="00BC6AA7">
            <w:pPr>
              <w:rPr>
                <w:sz w:val="22"/>
                <w:szCs w:val="22"/>
              </w:rPr>
            </w:pPr>
            <w:r w:rsidRPr="00802CBC">
              <w:rPr>
                <w:sz w:val="22"/>
                <w:szCs w:val="22"/>
              </w:rPr>
              <w:t>IČO / DIČ</w:t>
            </w:r>
          </w:p>
        </w:tc>
        <w:tc>
          <w:tcPr>
            <w:tcW w:w="6269" w:type="dxa"/>
            <w:vAlign w:val="center"/>
          </w:tcPr>
          <w:p w14:paraId="2DC91AB2" w14:textId="77777777" w:rsidR="00802DBD" w:rsidRPr="00802CBC" w:rsidRDefault="00802DBD" w:rsidP="00BC6AA7">
            <w:pPr>
              <w:jc w:val="left"/>
              <w:rPr>
                <w:sz w:val="22"/>
                <w:szCs w:val="22"/>
              </w:rPr>
            </w:pPr>
            <w:r w:rsidRPr="00802CBC">
              <w:rPr>
                <w:sz w:val="22"/>
                <w:szCs w:val="22"/>
              </w:rPr>
              <w:t>05732069 / CZ05732069</w:t>
            </w:r>
          </w:p>
        </w:tc>
      </w:tr>
      <w:tr w:rsidR="00802DBD" w:rsidRPr="000305B2" w14:paraId="78D85384" w14:textId="77777777" w:rsidTr="00BC6AA7">
        <w:trPr>
          <w:trHeight w:val="397"/>
        </w:trPr>
        <w:tc>
          <w:tcPr>
            <w:tcW w:w="2943" w:type="dxa"/>
            <w:vAlign w:val="center"/>
          </w:tcPr>
          <w:p w14:paraId="243883EA" w14:textId="77777777" w:rsidR="00802DBD" w:rsidRPr="00802CBC" w:rsidRDefault="00802DBD" w:rsidP="00BC6AA7">
            <w:pPr>
              <w:rPr>
                <w:sz w:val="22"/>
                <w:szCs w:val="22"/>
              </w:rPr>
            </w:pPr>
            <w:r w:rsidRPr="00802CBC">
              <w:rPr>
                <w:sz w:val="22"/>
                <w:szCs w:val="22"/>
              </w:rPr>
              <w:t>Adresa sídla</w:t>
            </w:r>
          </w:p>
        </w:tc>
        <w:tc>
          <w:tcPr>
            <w:tcW w:w="6269" w:type="dxa"/>
            <w:vAlign w:val="center"/>
          </w:tcPr>
          <w:p w14:paraId="27295CC2" w14:textId="77777777" w:rsidR="00802DBD" w:rsidRPr="00802CBC" w:rsidRDefault="00802DBD" w:rsidP="00BC6AA7">
            <w:pPr>
              <w:jc w:val="left"/>
              <w:rPr>
                <w:sz w:val="22"/>
                <w:szCs w:val="22"/>
              </w:rPr>
            </w:pPr>
            <w:r w:rsidRPr="00802CBC">
              <w:rPr>
                <w:sz w:val="22"/>
                <w:szCs w:val="22"/>
              </w:rPr>
              <w:t>Klimentská 2062/6, Nové Město, 110 00 Praha 1</w:t>
            </w:r>
          </w:p>
        </w:tc>
      </w:tr>
      <w:tr w:rsidR="00802DBD" w:rsidRPr="000305B2" w14:paraId="7B1AEFF1" w14:textId="77777777" w:rsidTr="00BC6AA7">
        <w:trPr>
          <w:trHeight w:val="397"/>
        </w:trPr>
        <w:tc>
          <w:tcPr>
            <w:tcW w:w="2943" w:type="dxa"/>
            <w:vAlign w:val="center"/>
          </w:tcPr>
          <w:p w14:paraId="1E08F560" w14:textId="77777777" w:rsidR="00802DBD" w:rsidRPr="00802CBC" w:rsidRDefault="00802DBD" w:rsidP="00BC6AA7">
            <w:pPr>
              <w:spacing w:line="240" w:lineRule="auto"/>
              <w:jc w:val="left"/>
              <w:rPr>
                <w:sz w:val="22"/>
                <w:szCs w:val="22"/>
              </w:rPr>
            </w:pPr>
            <w:r w:rsidRPr="00802CBC">
              <w:rPr>
                <w:sz w:val="22"/>
                <w:szCs w:val="22"/>
              </w:rPr>
              <w:t>Spisová značka</w:t>
            </w:r>
          </w:p>
        </w:tc>
        <w:tc>
          <w:tcPr>
            <w:tcW w:w="6269" w:type="dxa"/>
            <w:vAlign w:val="center"/>
          </w:tcPr>
          <w:p w14:paraId="58BA389E" w14:textId="77777777" w:rsidR="00802DBD" w:rsidRPr="00802CBC" w:rsidRDefault="00802DBD" w:rsidP="00BC6AA7">
            <w:pPr>
              <w:jc w:val="left"/>
              <w:rPr>
                <w:sz w:val="22"/>
                <w:szCs w:val="22"/>
              </w:rPr>
            </w:pPr>
            <w:r w:rsidRPr="00802CBC">
              <w:rPr>
                <w:sz w:val="22"/>
                <w:szCs w:val="22"/>
              </w:rPr>
              <w:t>C 269742 vedená u Městského soudu v Praze</w:t>
            </w:r>
          </w:p>
        </w:tc>
      </w:tr>
      <w:tr w:rsidR="00802DBD" w:rsidRPr="000305B2" w14:paraId="63981FAC" w14:textId="77777777" w:rsidTr="00BC6AA7">
        <w:trPr>
          <w:trHeight w:val="397"/>
        </w:trPr>
        <w:tc>
          <w:tcPr>
            <w:tcW w:w="2943" w:type="dxa"/>
            <w:vAlign w:val="center"/>
          </w:tcPr>
          <w:p w14:paraId="5373FBFE" w14:textId="77777777" w:rsidR="00802DBD" w:rsidRPr="00802CBC" w:rsidRDefault="00802DBD" w:rsidP="00BC6AA7">
            <w:pPr>
              <w:spacing w:line="240" w:lineRule="auto"/>
              <w:jc w:val="left"/>
              <w:rPr>
                <w:sz w:val="22"/>
                <w:szCs w:val="22"/>
              </w:rPr>
            </w:pPr>
            <w:r w:rsidRPr="00802CBC">
              <w:rPr>
                <w:sz w:val="22"/>
                <w:szCs w:val="22"/>
              </w:rPr>
              <w:t>Kontaktní osoba / e-mail, tel.</w:t>
            </w:r>
          </w:p>
        </w:tc>
        <w:tc>
          <w:tcPr>
            <w:tcW w:w="6269" w:type="dxa"/>
            <w:vAlign w:val="center"/>
          </w:tcPr>
          <w:p w14:paraId="3D7B0880" w14:textId="77777777" w:rsidR="00BF4216" w:rsidRDefault="00802DBD" w:rsidP="00BC6AA7">
            <w:pPr>
              <w:spacing w:line="240" w:lineRule="auto"/>
              <w:jc w:val="left"/>
              <w:rPr>
                <w:bCs/>
                <w:sz w:val="22"/>
                <w:szCs w:val="22"/>
              </w:rPr>
            </w:pPr>
            <w:r w:rsidRPr="00802CBC">
              <w:rPr>
                <w:b/>
                <w:sz w:val="22"/>
                <w:szCs w:val="22"/>
              </w:rPr>
              <w:t>Mgr. Marek Stowasser</w:t>
            </w:r>
            <w:r w:rsidRPr="00802CBC">
              <w:rPr>
                <w:bCs/>
                <w:sz w:val="22"/>
                <w:szCs w:val="22"/>
              </w:rPr>
              <w:t>,</w:t>
            </w:r>
            <w:r w:rsidR="00BF4216">
              <w:rPr>
                <w:bCs/>
                <w:sz w:val="22"/>
                <w:szCs w:val="22"/>
              </w:rPr>
              <w:t xml:space="preserve"> advokát</w:t>
            </w:r>
            <w:r w:rsidRPr="00802CBC">
              <w:rPr>
                <w:bCs/>
                <w:sz w:val="22"/>
                <w:szCs w:val="22"/>
              </w:rPr>
              <w:t xml:space="preserve"> </w:t>
            </w:r>
          </w:p>
          <w:p w14:paraId="23971A77" w14:textId="22597DA3" w:rsidR="00802DBD" w:rsidRPr="00AF5893" w:rsidRDefault="00BF4216" w:rsidP="00BC6AA7">
            <w:pPr>
              <w:spacing w:line="240" w:lineRule="auto"/>
              <w:jc w:val="left"/>
              <w:rPr>
                <w:sz w:val="22"/>
                <w:szCs w:val="22"/>
              </w:rPr>
            </w:pPr>
            <w:r w:rsidRPr="00AF5893">
              <w:rPr>
                <w:sz w:val="22"/>
                <w:szCs w:val="22"/>
              </w:rPr>
              <w:t xml:space="preserve">e-mail: </w:t>
            </w:r>
            <w:hyperlink r:id="rId12" w:history="1">
              <w:r w:rsidR="002B1394" w:rsidRPr="002B1394">
                <w:rPr>
                  <w:rStyle w:val="Hypertextovodkaz"/>
                  <w:rFonts w:cs="Arial"/>
                  <w:sz w:val="22"/>
                  <w:szCs w:val="22"/>
                </w:rPr>
                <w:t>marek.stowasser@karolas.cz</w:t>
              </w:r>
            </w:hyperlink>
            <w:r w:rsidR="002B1394">
              <w:rPr>
                <w:sz w:val="22"/>
                <w:szCs w:val="22"/>
              </w:rPr>
              <w:t xml:space="preserve">  </w:t>
            </w:r>
          </w:p>
          <w:p w14:paraId="76DEFCE0" w14:textId="77777777" w:rsidR="00802DBD" w:rsidRPr="00802CBC" w:rsidRDefault="00802DBD" w:rsidP="00BC6AA7">
            <w:pPr>
              <w:spacing w:line="240" w:lineRule="auto"/>
              <w:jc w:val="left"/>
              <w:rPr>
                <w:color w:val="0000FF"/>
                <w:sz w:val="22"/>
                <w:szCs w:val="22"/>
                <w:u w:val="single"/>
              </w:rPr>
            </w:pPr>
            <w:r w:rsidRPr="00AF5893">
              <w:rPr>
                <w:sz w:val="22"/>
                <w:szCs w:val="22"/>
              </w:rPr>
              <w:t>tel. + 420 773 092 884</w:t>
            </w:r>
          </w:p>
        </w:tc>
      </w:tr>
      <w:tr w:rsidR="00802DBD" w:rsidRPr="000305B2" w14:paraId="3ADC9F0F" w14:textId="77777777" w:rsidTr="00BC6AA7">
        <w:trPr>
          <w:trHeight w:val="397"/>
        </w:trPr>
        <w:tc>
          <w:tcPr>
            <w:tcW w:w="2943" w:type="dxa"/>
            <w:vAlign w:val="center"/>
          </w:tcPr>
          <w:p w14:paraId="5E0404E4" w14:textId="77777777" w:rsidR="00802DBD" w:rsidRPr="000305B2" w:rsidRDefault="00802DBD" w:rsidP="00BC6AA7">
            <w:pPr>
              <w:spacing w:line="240" w:lineRule="auto"/>
              <w:jc w:val="left"/>
              <w:rPr>
                <w:sz w:val="22"/>
                <w:szCs w:val="22"/>
              </w:rPr>
            </w:pPr>
            <w:r w:rsidRPr="000305B2">
              <w:rPr>
                <w:sz w:val="22"/>
                <w:szCs w:val="22"/>
              </w:rPr>
              <w:t>ID datové schránky</w:t>
            </w:r>
          </w:p>
        </w:tc>
        <w:tc>
          <w:tcPr>
            <w:tcW w:w="6269" w:type="dxa"/>
            <w:vAlign w:val="center"/>
          </w:tcPr>
          <w:p w14:paraId="5B3C7EE3" w14:textId="77777777" w:rsidR="00802DBD" w:rsidRPr="000305B2" w:rsidRDefault="00802DBD" w:rsidP="00BC6AA7">
            <w:pPr>
              <w:jc w:val="left"/>
              <w:rPr>
                <w:sz w:val="22"/>
                <w:szCs w:val="22"/>
              </w:rPr>
            </w:pPr>
            <w:r w:rsidRPr="0099529B">
              <w:rPr>
                <w:rFonts w:asciiTheme="minorHAnsi" w:hAnsiTheme="minorHAnsi" w:cstheme="minorHAnsi"/>
                <w:sz w:val="22"/>
                <w:szCs w:val="22"/>
                <w:shd w:val="clear" w:color="auto" w:fill="FFFFFF"/>
              </w:rPr>
              <w:t>7bfaq35</w:t>
            </w:r>
          </w:p>
        </w:tc>
      </w:tr>
    </w:tbl>
    <w:p w14:paraId="4E8BA4E6" w14:textId="77777777" w:rsidR="00294337" w:rsidRDefault="00294337"/>
    <w:p w14:paraId="5017FBF1" w14:textId="287BC3EB" w:rsidR="003D37F6" w:rsidRDefault="004147AF" w:rsidP="004147AF">
      <w:r w:rsidRPr="00B0768C">
        <w:t xml:space="preserve">Veřejná zakázka je </w:t>
      </w:r>
      <w:r w:rsidRPr="00304E93">
        <w:t xml:space="preserve">zadávaná v </w:t>
      </w:r>
      <w:r w:rsidRPr="00304E93">
        <w:rPr>
          <w:b/>
          <w:bCs/>
        </w:rPr>
        <w:t xml:space="preserve">otevřeném </w:t>
      </w:r>
      <w:r w:rsidRPr="001B051B">
        <w:rPr>
          <w:b/>
          <w:bCs/>
        </w:rPr>
        <w:t>řízení v nadlimitním režimu</w:t>
      </w:r>
      <w:r>
        <w:t xml:space="preserve"> v </w:t>
      </w:r>
      <w:r w:rsidRPr="00B0768C">
        <w:t>souladu s</w:t>
      </w:r>
      <w:r w:rsidR="00304E93">
        <w:t xml:space="preserve"> </w:t>
      </w:r>
      <w:r w:rsidR="00304E93" w:rsidRPr="00304E93">
        <w:t>ustanovením</w:t>
      </w:r>
      <w:r w:rsidRPr="00304E93">
        <w:t xml:space="preserve"> § 56 </w:t>
      </w:r>
      <w:r w:rsidRPr="003E25C7">
        <w:t>zákona č. 134/2016 Sb., o zadávání veřejných zakázek, ve znění pozdějších předpisů („</w:t>
      </w:r>
      <w:r w:rsidRPr="003E25C7">
        <w:rPr>
          <w:b/>
          <w:bCs/>
        </w:rPr>
        <w:t>ZZVZ</w:t>
      </w:r>
      <w:r w:rsidRPr="003E25C7">
        <w:t>“)</w:t>
      </w:r>
      <w:r w:rsidR="00170459">
        <w:t>.</w:t>
      </w:r>
    </w:p>
    <w:p w14:paraId="2548923D" w14:textId="1E52EC3E" w:rsidR="00EE2DEA" w:rsidRPr="00B0768C" w:rsidRDefault="00EE2DEA" w:rsidP="00EE2DEA">
      <w:pPr>
        <w:pStyle w:val="Nadpis1"/>
      </w:pPr>
      <w:r>
        <w:t>P</w:t>
      </w:r>
      <w:r w:rsidRPr="00B0768C">
        <w:t>řístup k zadávací dokumentaci a komunikace v zadávacím řízení</w:t>
      </w:r>
    </w:p>
    <w:p w14:paraId="6C1EEBD3" w14:textId="77777777" w:rsidR="00EE2DEA" w:rsidRPr="009305A9" w:rsidRDefault="00EE2DEA" w:rsidP="009B2AF5">
      <w:pPr>
        <w:pStyle w:val="Styl1"/>
        <w:ind w:left="567" w:hanging="567"/>
      </w:pPr>
      <w:r w:rsidRPr="009305A9">
        <w:t>Kompletní zadávací dokumentace je uveřejněna na profilu zadavatele minimálně po celou dobu běhu lhůty pro podání nabídek.</w:t>
      </w:r>
    </w:p>
    <w:p w14:paraId="7949EA4C" w14:textId="186B63C8" w:rsidR="00EE2DEA" w:rsidRPr="00AE76EF" w:rsidRDefault="00EE2DEA" w:rsidP="009B2AF5">
      <w:pPr>
        <w:pStyle w:val="Styl1"/>
        <w:ind w:left="567" w:hanging="567"/>
      </w:pPr>
      <w:r w:rsidRPr="00AE76EF">
        <w:lastRenderedPageBreak/>
        <w:t>Komunikace dodavatele směřující k zadavateli (zejména doručování) bude probíhat prostřednictvím kontaktní osoby zadávacího řízení. Kontaktní osoba zadávacího řízení je</w:t>
      </w:r>
      <w:r w:rsidR="00C47A4A">
        <w:t> </w:t>
      </w:r>
      <w:r w:rsidRPr="00AE76EF">
        <w:t>zejména oprávněna přijímat žádosti o vysvětlení zadávací dokumentace.</w:t>
      </w:r>
    </w:p>
    <w:p w14:paraId="23AE4E23" w14:textId="29649520" w:rsidR="00EE2DEA" w:rsidRPr="000F56C5" w:rsidRDefault="00EE2DEA" w:rsidP="009B2AF5">
      <w:pPr>
        <w:pStyle w:val="Styl1"/>
        <w:ind w:left="567" w:hanging="567"/>
      </w:pPr>
      <w:r w:rsidRPr="00AE76EF">
        <w:t>Zadavatel bude v zadávacím řízení komunikovat v souladu s § 211 ZZVZ prostřednictvím</w:t>
      </w:r>
      <w:r w:rsidRPr="005B03D1">
        <w:t xml:space="preserve"> </w:t>
      </w:r>
      <w:r w:rsidRPr="005B03D1">
        <w:rPr>
          <w:b/>
          <w:bCs/>
        </w:rPr>
        <w:t xml:space="preserve">elektronických prostředků </w:t>
      </w:r>
      <w:r w:rsidRPr="005B03D1">
        <w:t>– viz kontaktní e-mail a datová schránka zástupce zadavatele uvedené v</w:t>
      </w:r>
      <w:r>
        <w:t> </w:t>
      </w:r>
      <w:r w:rsidRPr="005B03D1">
        <w:t>čl</w:t>
      </w:r>
      <w:r>
        <w:t>.</w:t>
      </w:r>
      <w:r w:rsidR="0020354A">
        <w:t xml:space="preserve"> 1</w:t>
      </w:r>
      <w:r w:rsidRPr="005B03D1">
        <w:t xml:space="preserve"> </w:t>
      </w:r>
      <w:r>
        <w:t>této zadávací dokumentace</w:t>
      </w:r>
      <w:r w:rsidRPr="005B03D1">
        <w:t xml:space="preserve">. Komunikace bude směřovat na e-mailové adresy, které budou uvedeny v nabídkách na </w:t>
      </w:r>
      <w:r w:rsidRPr="005B03D1">
        <w:rPr>
          <w:b/>
          <w:bCs/>
        </w:rPr>
        <w:t>krycí</w:t>
      </w:r>
      <w:r>
        <w:rPr>
          <w:b/>
          <w:bCs/>
        </w:rPr>
        <w:t>m</w:t>
      </w:r>
      <w:r w:rsidRPr="005B03D1">
        <w:rPr>
          <w:b/>
          <w:bCs/>
        </w:rPr>
        <w:t xml:space="preserve"> list</w:t>
      </w:r>
      <w:r>
        <w:rPr>
          <w:b/>
          <w:bCs/>
        </w:rPr>
        <w:t>u</w:t>
      </w:r>
      <w:r w:rsidRPr="005B03D1">
        <w:t xml:space="preserve">, </w:t>
      </w:r>
      <w:r w:rsidRPr="000F56C5">
        <w:t xml:space="preserve">jehož vzor je součástí </w:t>
      </w:r>
      <w:r w:rsidR="00851765" w:rsidRPr="000F56C5">
        <w:rPr>
          <w:rStyle w:val="Zdraznnjemn"/>
          <w:iCs/>
        </w:rPr>
        <w:t>Přílohy č. 3</w:t>
      </w:r>
      <w:r w:rsidR="00851765" w:rsidRPr="000F56C5">
        <w:rPr>
          <w:rStyle w:val="Zdraznnjemn"/>
        </w:rPr>
        <w:t xml:space="preserve"> </w:t>
      </w:r>
      <w:r w:rsidRPr="000F56C5">
        <w:t>této zadávací dokumentace; dále bude komunikace vedena prostřednictvím datových schránek či prostřednictvím elektronického nástroje (profilu zadavatele).</w:t>
      </w:r>
    </w:p>
    <w:p w14:paraId="7CF87E87" w14:textId="622F4C7D" w:rsidR="003A54B8" w:rsidRPr="000F56C5" w:rsidRDefault="003A54B8" w:rsidP="003A54B8">
      <w:pPr>
        <w:pStyle w:val="Nadpis1"/>
      </w:pPr>
      <w:r w:rsidRPr="000F56C5">
        <w:t>Vymezení předmětu zakázky</w:t>
      </w:r>
    </w:p>
    <w:p w14:paraId="6843835A" w14:textId="77777777" w:rsidR="009345E2" w:rsidRPr="000F56C5" w:rsidRDefault="009345E2" w:rsidP="009615E4">
      <w:pPr>
        <w:pStyle w:val="Styl1"/>
        <w:ind w:left="567" w:hanging="567"/>
      </w:pPr>
      <w:r w:rsidRPr="000F56C5">
        <w:t xml:space="preserve">Zadávací řízení je realizováno za účelem uzavření rámcové dohody mezi zadavatelem a více dodavateli, jejímž předmětem je dodávka vybavení (optika a </w:t>
      </w:r>
      <w:proofErr w:type="spellStart"/>
      <w:r w:rsidRPr="000F56C5">
        <w:t>optomechanika</w:t>
      </w:r>
      <w:proofErr w:type="spellEnd"/>
      <w:r w:rsidRPr="000F56C5">
        <w:t>) do laserové laboratoře zadavatele v budově HiLASE v Dolních Břežanech („</w:t>
      </w:r>
      <w:r w:rsidRPr="000F56C5">
        <w:rPr>
          <w:b/>
          <w:bCs/>
        </w:rPr>
        <w:t>Rámcová dohoda</w:t>
      </w:r>
      <w:r w:rsidRPr="000F56C5">
        <w:t>“).</w:t>
      </w:r>
    </w:p>
    <w:p w14:paraId="577552E9" w14:textId="440FF62B" w:rsidR="00E06517" w:rsidRPr="000F56C5" w:rsidRDefault="00E06517" w:rsidP="00E06517">
      <w:pPr>
        <w:pStyle w:val="Styl1"/>
        <w:ind w:left="567" w:hanging="567"/>
        <w:rPr>
          <w:b/>
          <w:bCs/>
        </w:rPr>
      </w:pPr>
      <w:r w:rsidRPr="000F56C5">
        <w:rPr>
          <w:b/>
          <w:bCs/>
        </w:rPr>
        <w:t xml:space="preserve">Předmět plnění veřejné zakázky bude realizován průběžně na základě Rámcové dohody, která bude ve smyslu ustanovení § 131 ZZVZ uzavřena </w:t>
      </w:r>
      <w:r w:rsidRPr="000F56C5">
        <w:rPr>
          <w:b/>
          <w:bCs/>
          <w:u w:val="single"/>
        </w:rPr>
        <w:t>až se třemi dodavateli</w:t>
      </w:r>
      <w:r w:rsidRPr="000F56C5">
        <w:rPr>
          <w:b/>
          <w:bCs/>
        </w:rPr>
        <w:t>, a to</w:t>
      </w:r>
      <w:r w:rsidR="002F0952" w:rsidRPr="000F56C5">
        <w:rPr>
          <w:b/>
          <w:bCs/>
        </w:rPr>
        <w:t xml:space="preserve"> na dobu určitou</w:t>
      </w:r>
      <w:r w:rsidRPr="000F56C5">
        <w:rPr>
          <w:b/>
          <w:bCs/>
        </w:rPr>
        <w:t xml:space="preserve"> </w:t>
      </w:r>
      <w:r w:rsidR="00376397" w:rsidRPr="000F56C5">
        <w:rPr>
          <w:b/>
          <w:bCs/>
        </w:rPr>
        <w:t xml:space="preserve">4 </w:t>
      </w:r>
      <w:r w:rsidR="002F0952" w:rsidRPr="000F56C5">
        <w:rPr>
          <w:b/>
          <w:bCs/>
        </w:rPr>
        <w:t>let</w:t>
      </w:r>
      <w:r w:rsidR="00376397" w:rsidRPr="000F56C5">
        <w:rPr>
          <w:b/>
          <w:bCs/>
        </w:rPr>
        <w:t xml:space="preserve"> od </w:t>
      </w:r>
      <w:r w:rsidR="002F0952" w:rsidRPr="000F56C5">
        <w:rPr>
          <w:b/>
          <w:bCs/>
        </w:rPr>
        <w:t>účinnosti</w:t>
      </w:r>
      <w:r w:rsidR="00376397" w:rsidRPr="000F56C5">
        <w:rPr>
          <w:b/>
          <w:bCs/>
        </w:rPr>
        <w:t xml:space="preserve"> Rámcové dohody</w:t>
      </w:r>
      <w:r w:rsidRPr="000F56C5">
        <w:rPr>
          <w:b/>
          <w:bCs/>
        </w:rPr>
        <w:t xml:space="preserve"> nebo do vyčerpání částky </w:t>
      </w:r>
      <w:r w:rsidR="00376397" w:rsidRPr="000F56C5">
        <w:rPr>
          <w:b/>
          <w:bCs/>
        </w:rPr>
        <w:t xml:space="preserve">8 000 000 </w:t>
      </w:r>
      <w:r w:rsidRPr="000F56C5">
        <w:rPr>
          <w:b/>
          <w:bCs/>
        </w:rPr>
        <w:t>Kč bez DPH podle toho, která skutečnost nastane dříve. Dílčí veřejné zakázky na základě Rámcové dohody budou zadávány postupem s obnovením soutěže podle § 135 ZZVZ.</w:t>
      </w:r>
    </w:p>
    <w:p w14:paraId="7837F9EF" w14:textId="77777777" w:rsidR="006A7FFC" w:rsidRPr="000F56C5" w:rsidRDefault="006A7FFC" w:rsidP="00A009CD">
      <w:pPr>
        <w:pStyle w:val="Styl1"/>
        <w:ind w:left="567" w:hanging="567"/>
      </w:pPr>
      <w:r w:rsidRPr="000F56C5">
        <w:t>Zadavatel bude oprávněn za dobu plnění Rámcové dohody odebrat nižší či vyšší než předpokládaný počet dodávek (modelový počet kusů) uvedený v Příloze č. 2 této zadávací dokumentace. Je právem (ne povinností) zadavatele odebrat předpokládaný počet dodávek uvedený v Příloze č. 2 této zadávací dokumentace, při jeho nevyužití (tj. při neodebrání úplného předpokládaného počtu dodávek) nebo naopak při přesažení předpokládaného počtu dodávek (tj. při odebrání vyššího počtu dodávek) nevzniká vybranému dodavateli právo na jakoukoliv kompenzaci či náhradu újmy vůči zadavateli a nevzniká mu též právo odstoupit od Rámcové dohody.</w:t>
      </w:r>
    </w:p>
    <w:p w14:paraId="33235CC0" w14:textId="77777777" w:rsidR="00B67721" w:rsidRPr="000F56C5" w:rsidRDefault="00B67721" w:rsidP="0005389D">
      <w:pPr>
        <w:pStyle w:val="Styl1"/>
        <w:ind w:left="567" w:hanging="567"/>
      </w:pPr>
      <w:r w:rsidRPr="000F56C5">
        <w:t>Při uzavírání dílčích smluv / objednávek na základě Rámcové dohody nebudou účastníci Rámcové dohody oprávněni nabídnout zadavateli vyšší ceny, než jaké uvedli ve své nabídce, budou však oprávnění nabídnout zadavateli ceny nižší. Bližší postup pro uzavírání Dílčích smluv je obsažen v Rámcové dohodě.</w:t>
      </w:r>
    </w:p>
    <w:p w14:paraId="3E406DAE" w14:textId="77777777" w:rsidR="00B74535" w:rsidRDefault="00B74535" w:rsidP="0005389D">
      <w:pPr>
        <w:pStyle w:val="Styl1"/>
        <w:ind w:left="567" w:hanging="567"/>
      </w:pPr>
      <w:r w:rsidRPr="000F56C5">
        <w:t>Předmět veřejné zakázky je podrobně specifikován v návrhu Rámcové dohody, který tvoří Přílohu č. 1 této zadávací dokumentace, a především pak v Technické specifikaci, která tvoří Přílohu č. 2 této zadávací</w:t>
      </w:r>
      <w:r w:rsidRPr="001124A1">
        <w:t xml:space="preserve"> dokumentace</w:t>
      </w:r>
      <w:r>
        <w:t>.</w:t>
      </w:r>
    </w:p>
    <w:p w14:paraId="6FBD498F" w14:textId="77777777" w:rsidR="00A53822" w:rsidRPr="00AE5439" w:rsidRDefault="00A53822" w:rsidP="00BC2F48">
      <w:pPr>
        <w:pStyle w:val="Styl1"/>
        <w:ind w:left="567" w:hanging="567"/>
      </w:pPr>
      <w:r w:rsidRPr="00AE5439">
        <w:t>Klasifikace předmětu plnění veřejné zakázky dle CPV kódu:</w:t>
      </w:r>
    </w:p>
    <w:tbl>
      <w:tblPr>
        <w:tblStyle w:val="Mkatabulky"/>
        <w:tblW w:w="850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17"/>
        <w:gridCol w:w="7087"/>
      </w:tblGrid>
      <w:tr w:rsidR="00A53822" w:rsidRPr="00AE5439" w14:paraId="2C748968" w14:textId="77777777" w:rsidTr="003E2085">
        <w:trPr>
          <w:trHeight w:val="454"/>
        </w:trPr>
        <w:tc>
          <w:tcPr>
            <w:tcW w:w="1417" w:type="dxa"/>
          </w:tcPr>
          <w:p w14:paraId="4BBBEC2F" w14:textId="77777777" w:rsidR="00A53822" w:rsidRPr="002F0952" w:rsidRDefault="00A53822" w:rsidP="003E2085">
            <w:pPr>
              <w:pStyle w:val="Tabtun"/>
              <w:rPr>
                <w:sz w:val="22"/>
              </w:rPr>
            </w:pPr>
            <w:r w:rsidRPr="002F0952">
              <w:rPr>
                <w:sz w:val="22"/>
              </w:rPr>
              <w:t>38000000-5</w:t>
            </w:r>
          </w:p>
        </w:tc>
        <w:tc>
          <w:tcPr>
            <w:tcW w:w="7087" w:type="dxa"/>
          </w:tcPr>
          <w:p w14:paraId="03609D05" w14:textId="77777777" w:rsidR="00A53822" w:rsidRPr="002F0952" w:rsidRDefault="00A53822" w:rsidP="003E2085">
            <w:pPr>
              <w:pStyle w:val="Tab"/>
              <w:rPr>
                <w:sz w:val="22"/>
              </w:rPr>
            </w:pPr>
            <w:r w:rsidRPr="002F0952">
              <w:rPr>
                <w:sz w:val="22"/>
              </w:rPr>
              <w:t>Laboratorní, optické a přesné přístroje a zařízení (mimo skel)</w:t>
            </w:r>
          </w:p>
        </w:tc>
      </w:tr>
      <w:tr w:rsidR="00A53822" w14:paraId="6C8A148C" w14:textId="77777777" w:rsidTr="003E2085">
        <w:trPr>
          <w:trHeight w:val="454"/>
        </w:trPr>
        <w:tc>
          <w:tcPr>
            <w:tcW w:w="1417" w:type="dxa"/>
          </w:tcPr>
          <w:p w14:paraId="0DC8244A" w14:textId="77777777" w:rsidR="00A53822" w:rsidRPr="002F0952" w:rsidRDefault="00A53822" w:rsidP="003E2085">
            <w:pPr>
              <w:pStyle w:val="Tabtun"/>
              <w:rPr>
                <w:sz w:val="22"/>
              </w:rPr>
            </w:pPr>
            <w:r w:rsidRPr="002F0952">
              <w:rPr>
                <w:sz w:val="22"/>
              </w:rPr>
              <w:t>42671100-1</w:t>
            </w:r>
          </w:p>
        </w:tc>
        <w:tc>
          <w:tcPr>
            <w:tcW w:w="7087" w:type="dxa"/>
          </w:tcPr>
          <w:p w14:paraId="5224E5A0" w14:textId="77777777" w:rsidR="00A53822" w:rsidRPr="002F0952" w:rsidRDefault="00A53822" w:rsidP="003E2085">
            <w:pPr>
              <w:pStyle w:val="Tab"/>
              <w:rPr>
                <w:sz w:val="22"/>
              </w:rPr>
            </w:pPr>
            <w:r w:rsidRPr="002F0952">
              <w:rPr>
                <w:sz w:val="22"/>
              </w:rPr>
              <w:t>Držáky laboratorních potřeb</w:t>
            </w:r>
          </w:p>
        </w:tc>
      </w:tr>
      <w:tr w:rsidR="00A53822" w14:paraId="225C3658" w14:textId="77777777" w:rsidTr="003E2085">
        <w:trPr>
          <w:trHeight w:val="454"/>
        </w:trPr>
        <w:tc>
          <w:tcPr>
            <w:tcW w:w="1417" w:type="dxa"/>
          </w:tcPr>
          <w:p w14:paraId="08432E82" w14:textId="77777777" w:rsidR="00A53822" w:rsidRPr="002F0952" w:rsidRDefault="00A53822" w:rsidP="003E2085">
            <w:pPr>
              <w:pStyle w:val="Tabtun"/>
              <w:rPr>
                <w:sz w:val="22"/>
              </w:rPr>
            </w:pPr>
            <w:r w:rsidRPr="002F0952">
              <w:rPr>
                <w:sz w:val="22"/>
              </w:rPr>
              <w:t>31720000-9</w:t>
            </w:r>
          </w:p>
        </w:tc>
        <w:tc>
          <w:tcPr>
            <w:tcW w:w="7087" w:type="dxa"/>
          </w:tcPr>
          <w:p w14:paraId="145BD738" w14:textId="77777777" w:rsidR="00A53822" w:rsidRPr="002F0952" w:rsidRDefault="00A53822" w:rsidP="003E2085">
            <w:pPr>
              <w:pStyle w:val="Tab"/>
              <w:rPr>
                <w:sz w:val="22"/>
              </w:rPr>
            </w:pPr>
            <w:r w:rsidRPr="002F0952">
              <w:rPr>
                <w:sz w:val="22"/>
              </w:rPr>
              <w:t>Elektromechanická zařízení</w:t>
            </w:r>
          </w:p>
        </w:tc>
      </w:tr>
      <w:tr w:rsidR="00A53822" w14:paraId="5FC7033B" w14:textId="77777777" w:rsidTr="003E2085">
        <w:trPr>
          <w:trHeight w:val="454"/>
        </w:trPr>
        <w:tc>
          <w:tcPr>
            <w:tcW w:w="1417" w:type="dxa"/>
          </w:tcPr>
          <w:p w14:paraId="469D8DE2" w14:textId="77777777" w:rsidR="00A53822" w:rsidRPr="002F0952" w:rsidRDefault="00A53822" w:rsidP="003E2085">
            <w:pPr>
              <w:pStyle w:val="Tabtun"/>
              <w:rPr>
                <w:sz w:val="22"/>
              </w:rPr>
            </w:pPr>
            <w:r w:rsidRPr="002F0952">
              <w:rPr>
                <w:sz w:val="22"/>
              </w:rPr>
              <w:t>38600000-1</w:t>
            </w:r>
          </w:p>
        </w:tc>
        <w:tc>
          <w:tcPr>
            <w:tcW w:w="7087" w:type="dxa"/>
          </w:tcPr>
          <w:p w14:paraId="2558EE9F" w14:textId="77777777" w:rsidR="00A53822" w:rsidRPr="002F0952" w:rsidRDefault="00A53822" w:rsidP="003E2085">
            <w:pPr>
              <w:pStyle w:val="Tab"/>
              <w:rPr>
                <w:sz w:val="22"/>
              </w:rPr>
            </w:pPr>
            <w:r w:rsidRPr="002F0952">
              <w:rPr>
                <w:sz w:val="22"/>
              </w:rPr>
              <w:t>Optické přístroje</w:t>
            </w:r>
          </w:p>
        </w:tc>
      </w:tr>
      <w:tr w:rsidR="00A53822" w14:paraId="4807E616" w14:textId="77777777" w:rsidTr="003E2085">
        <w:trPr>
          <w:trHeight w:val="454"/>
        </w:trPr>
        <w:tc>
          <w:tcPr>
            <w:tcW w:w="1417" w:type="dxa"/>
          </w:tcPr>
          <w:p w14:paraId="70D3D47C" w14:textId="77777777" w:rsidR="00A53822" w:rsidRPr="002F0952" w:rsidRDefault="00A53822" w:rsidP="003E2085">
            <w:pPr>
              <w:pStyle w:val="Tabtun"/>
              <w:rPr>
                <w:sz w:val="22"/>
              </w:rPr>
            </w:pPr>
            <w:r w:rsidRPr="002F0952">
              <w:rPr>
                <w:sz w:val="22"/>
              </w:rPr>
              <w:lastRenderedPageBreak/>
              <w:t>38624000-5</w:t>
            </w:r>
          </w:p>
        </w:tc>
        <w:tc>
          <w:tcPr>
            <w:tcW w:w="7087" w:type="dxa"/>
          </w:tcPr>
          <w:p w14:paraId="098B8206" w14:textId="77777777" w:rsidR="00A53822" w:rsidRPr="002F0952" w:rsidRDefault="00A53822" w:rsidP="003E2085">
            <w:pPr>
              <w:pStyle w:val="Tab"/>
              <w:rPr>
                <w:sz w:val="22"/>
              </w:rPr>
            </w:pPr>
            <w:r w:rsidRPr="002F0952">
              <w:rPr>
                <w:sz w:val="22"/>
              </w:rPr>
              <w:t>Optické pomůcky</w:t>
            </w:r>
          </w:p>
        </w:tc>
      </w:tr>
      <w:tr w:rsidR="00A53822" w14:paraId="5A7CAFD6" w14:textId="77777777" w:rsidTr="003E2085">
        <w:trPr>
          <w:trHeight w:val="454"/>
        </w:trPr>
        <w:tc>
          <w:tcPr>
            <w:tcW w:w="1417" w:type="dxa"/>
          </w:tcPr>
          <w:p w14:paraId="7212C5E3" w14:textId="77777777" w:rsidR="00A53822" w:rsidRPr="002F0952" w:rsidRDefault="00A53822" w:rsidP="003E2085">
            <w:pPr>
              <w:pStyle w:val="Tabtun"/>
              <w:rPr>
                <w:sz w:val="22"/>
              </w:rPr>
            </w:pPr>
            <w:r w:rsidRPr="002F0952">
              <w:rPr>
                <w:sz w:val="22"/>
              </w:rPr>
              <w:t>38623000-8</w:t>
            </w:r>
          </w:p>
        </w:tc>
        <w:tc>
          <w:tcPr>
            <w:tcW w:w="7087" w:type="dxa"/>
          </w:tcPr>
          <w:p w14:paraId="553E84E2" w14:textId="77777777" w:rsidR="00A53822" w:rsidRPr="002F0952" w:rsidRDefault="00A53822" w:rsidP="003E2085">
            <w:pPr>
              <w:pStyle w:val="Tab"/>
              <w:rPr>
                <w:sz w:val="22"/>
              </w:rPr>
            </w:pPr>
            <w:r w:rsidRPr="002F0952">
              <w:rPr>
                <w:sz w:val="22"/>
              </w:rPr>
              <w:t>Optické filtry</w:t>
            </w:r>
          </w:p>
        </w:tc>
      </w:tr>
      <w:tr w:rsidR="00A53822" w14:paraId="301429ED" w14:textId="77777777" w:rsidTr="003E2085">
        <w:trPr>
          <w:trHeight w:val="454"/>
        </w:trPr>
        <w:tc>
          <w:tcPr>
            <w:tcW w:w="1417" w:type="dxa"/>
          </w:tcPr>
          <w:p w14:paraId="7C72877F" w14:textId="77777777" w:rsidR="00A53822" w:rsidRPr="002F0952" w:rsidRDefault="00A53822" w:rsidP="003E2085">
            <w:pPr>
              <w:pStyle w:val="Tabtun"/>
              <w:rPr>
                <w:sz w:val="22"/>
              </w:rPr>
            </w:pPr>
            <w:r w:rsidRPr="002F0952">
              <w:rPr>
                <w:sz w:val="22"/>
              </w:rPr>
              <w:t>38300000-8</w:t>
            </w:r>
          </w:p>
        </w:tc>
        <w:tc>
          <w:tcPr>
            <w:tcW w:w="7087" w:type="dxa"/>
          </w:tcPr>
          <w:p w14:paraId="50C4FC69" w14:textId="77777777" w:rsidR="00A53822" w:rsidRPr="002F0952" w:rsidRDefault="00A53822" w:rsidP="003E2085">
            <w:pPr>
              <w:pStyle w:val="Tab"/>
              <w:rPr>
                <w:sz w:val="22"/>
              </w:rPr>
            </w:pPr>
            <w:r w:rsidRPr="002F0952">
              <w:rPr>
                <w:sz w:val="22"/>
              </w:rPr>
              <w:t>Měřící přístroje</w:t>
            </w:r>
          </w:p>
        </w:tc>
      </w:tr>
      <w:tr w:rsidR="00A53822" w14:paraId="316BFB04" w14:textId="77777777" w:rsidTr="003E2085">
        <w:trPr>
          <w:trHeight w:val="454"/>
        </w:trPr>
        <w:tc>
          <w:tcPr>
            <w:tcW w:w="1417" w:type="dxa"/>
          </w:tcPr>
          <w:p w14:paraId="10994483" w14:textId="77777777" w:rsidR="00A53822" w:rsidRPr="002F0952" w:rsidRDefault="00A53822" w:rsidP="003E2085">
            <w:pPr>
              <w:pStyle w:val="Tabtun"/>
              <w:rPr>
                <w:sz w:val="22"/>
              </w:rPr>
            </w:pPr>
            <w:r w:rsidRPr="002F0952">
              <w:rPr>
                <w:sz w:val="22"/>
              </w:rPr>
              <w:t>38570000-1</w:t>
            </w:r>
          </w:p>
        </w:tc>
        <w:tc>
          <w:tcPr>
            <w:tcW w:w="7087" w:type="dxa"/>
          </w:tcPr>
          <w:p w14:paraId="62E62024" w14:textId="77777777" w:rsidR="00A53822" w:rsidRPr="002F0952" w:rsidRDefault="00A53822" w:rsidP="003E2085">
            <w:pPr>
              <w:pStyle w:val="Tab"/>
              <w:rPr>
                <w:sz w:val="22"/>
              </w:rPr>
            </w:pPr>
            <w:r w:rsidRPr="002F0952">
              <w:rPr>
                <w:sz w:val="22"/>
              </w:rPr>
              <w:t>Regulační a kontrolní přístroje a nástroje</w:t>
            </w:r>
          </w:p>
        </w:tc>
      </w:tr>
      <w:tr w:rsidR="00A53822" w14:paraId="27EAAA3B" w14:textId="77777777" w:rsidTr="003E2085">
        <w:trPr>
          <w:trHeight w:val="454"/>
        </w:trPr>
        <w:tc>
          <w:tcPr>
            <w:tcW w:w="1417" w:type="dxa"/>
          </w:tcPr>
          <w:p w14:paraId="16899E8C" w14:textId="77777777" w:rsidR="00A53822" w:rsidRPr="002F0952" w:rsidRDefault="00A53822" w:rsidP="003E2085">
            <w:pPr>
              <w:pStyle w:val="Tabtun"/>
              <w:rPr>
                <w:sz w:val="22"/>
              </w:rPr>
            </w:pPr>
            <w:r w:rsidRPr="002F0952">
              <w:rPr>
                <w:sz w:val="22"/>
              </w:rPr>
              <w:t>38622000-1</w:t>
            </w:r>
          </w:p>
        </w:tc>
        <w:tc>
          <w:tcPr>
            <w:tcW w:w="7087" w:type="dxa"/>
          </w:tcPr>
          <w:p w14:paraId="38942F63" w14:textId="77777777" w:rsidR="00A53822" w:rsidRPr="002F0952" w:rsidRDefault="00A53822" w:rsidP="003E2085">
            <w:pPr>
              <w:pStyle w:val="Tab"/>
              <w:rPr>
                <w:sz w:val="22"/>
              </w:rPr>
            </w:pPr>
            <w:r w:rsidRPr="002F0952">
              <w:rPr>
                <w:sz w:val="22"/>
              </w:rPr>
              <w:t>Zrcadla</w:t>
            </w:r>
          </w:p>
        </w:tc>
      </w:tr>
    </w:tbl>
    <w:p w14:paraId="6F0247AF" w14:textId="77777777" w:rsidR="003A54B8" w:rsidRPr="001D28AC" w:rsidRDefault="003A54B8" w:rsidP="003A54B8">
      <w:pPr>
        <w:pStyle w:val="podnadpis"/>
      </w:pPr>
      <w:r w:rsidRPr="001D28AC">
        <w:t>Místo plnění veřejné zakázky</w:t>
      </w:r>
    </w:p>
    <w:p w14:paraId="13DFBE99" w14:textId="77777777" w:rsidR="00A50E50" w:rsidRPr="00A50E50" w:rsidRDefault="00A50E50" w:rsidP="00BC2F48">
      <w:pPr>
        <w:pStyle w:val="Styl1"/>
        <w:ind w:left="567" w:hanging="567"/>
      </w:pPr>
      <w:bookmarkStart w:id="3" w:name="_Toc84330689"/>
      <w:bookmarkStart w:id="4" w:name="_Toc125393840"/>
      <w:r w:rsidRPr="00A50E50">
        <w:t xml:space="preserve">Místem plnění veřejné zakázky je </w:t>
      </w:r>
      <w:r w:rsidRPr="000A3F27">
        <w:rPr>
          <w:b/>
          <w:bCs/>
        </w:rPr>
        <w:t>HiLASE Centrum</w:t>
      </w:r>
      <w:r w:rsidRPr="00A50E50">
        <w:t>, Fyzikální ústav AV ČR, v. v. i., Za Radnicí 828, 252 41 Dolní Břežany, Česká republika.</w:t>
      </w:r>
    </w:p>
    <w:p w14:paraId="16524EE0" w14:textId="77777777" w:rsidR="003A54B8" w:rsidRPr="00ED0404" w:rsidRDefault="003A54B8" w:rsidP="003A54B8">
      <w:pPr>
        <w:pStyle w:val="podnadpis"/>
      </w:pPr>
      <w:r w:rsidRPr="00ED0404">
        <w:t>Prohlídka místa plnění</w:t>
      </w:r>
      <w:bookmarkEnd w:id="3"/>
      <w:bookmarkEnd w:id="4"/>
    </w:p>
    <w:p w14:paraId="6EA8B659" w14:textId="77777777" w:rsidR="003A54B8" w:rsidRDefault="003A54B8" w:rsidP="00934592">
      <w:pPr>
        <w:pStyle w:val="Styl1"/>
        <w:ind w:left="567" w:hanging="567"/>
      </w:pPr>
      <w:r w:rsidRPr="00ED0404">
        <w:t>Zadavatel vzhledem k povaze předmětu veřejné zakázky nebude organizovat prohlídku místa plnění.</w:t>
      </w:r>
    </w:p>
    <w:p w14:paraId="59685F67" w14:textId="77777777" w:rsidR="003A54B8" w:rsidRPr="001D28AC" w:rsidRDefault="003A54B8" w:rsidP="003A54B8">
      <w:pPr>
        <w:pStyle w:val="podnadpis"/>
      </w:pPr>
      <w:r w:rsidRPr="000B2EAA">
        <w:t>Doba plnění veřejné zakázky</w:t>
      </w:r>
    </w:p>
    <w:p w14:paraId="61319770" w14:textId="77777777" w:rsidR="00427A75" w:rsidRPr="008F395C" w:rsidRDefault="00427A75" w:rsidP="008F395C">
      <w:pPr>
        <w:pStyle w:val="Styl1"/>
        <w:ind w:left="567" w:hanging="567"/>
      </w:pPr>
      <w:r w:rsidRPr="008F395C">
        <w:t xml:space="preserve">Doba plnění veřejné zakázky je specifikována v návrhu Rámcové dohody, která </w:t>
      </w:r>
      <w:r w:rsidRPr="000F56C5">
        <w:t>tvoří Přílohu č. 1</w:t>
      </w:r>
      <w:r w:rsidRPr="008F395C">
        <w:t xml:space="preserve"> této zadávací dokumentace.</w:t>
      </w:r>
    </w:p>
    <w:p w14:paraId="4C8A6C25" w14:textId="77777777" w:rsidR="003A54B8" w:rsidRPr="00E02DA7" w:rsidRDefault="003A54B8" w:rsidP="003A54B8">
      <w:pPr>
        <w:pStyle w:val="podnadpis"/>
      </w:pPr>
      <w:r w:rsidRPr="009D4468">
        <w:t>Předpokládaná hodnota veřejné zakázky</w:t>
      </w:r>
    </w:p>
    <w:p w14:paraId="7737858D" w14:textId="624A43DD" w:rsidR="00934592" w:rsidRPr="00F642FE" w:rsidRDefault="003A54B8" w:rsidP="00186175">
      <w:pPr>
        <w:pStyle w:val="Styl11"/>
        <w:numPr>
          <w:ilvl w:val="1"/>
          <w:numId w:val="1"/>
        </w:numPr>
        <w:ind w:left="567" w:hanging="567"/>
      </w:pPr>
      <w:r w:rsidRPr="00FB5997">
        <w:t xml:space="preserve">Předpokládaná </w:t>
      </w:r>
      <w:r w:rsidRPr="00B72A01">
        <w:t>hodnota veřejné zakázky</w:t>
      </w:r>
      <w:r w:rsidR="001B051B">
        <w:t xml:space="preserve"> (bez zohlednění části zadávané postupem dle § 18 odst. 3 ZZVZ </w:t>
      </w:r>
      <w:r w:rsidR="00F642FE" w:rsidRPr="00B72A01">
        <w:t xml:space="preserve">činí </w:t>
      </w:r>
      <w:r w:rsidR="00F642FE" w:rsidRPr="00D56864">
        <w:rPr>
          <w:b/>
          <w:bCs/>
        </w:rPr>
        <w:t>7</w:t>
      </w:r>
      <w:r w:rsidR="007F6569" w:rsidRPr="00D56864">
        <w:rPr>
          <w:b/>
          <w:bCs/>
        </w:rPr>
        <w:t xml:space="preserve"> 5</w:t>
      </w:r>
      <w:r w:rsidR="001B051B" w:rsidRPr="00D56864">
        <w:rPr>
          <w:b/>
          <w:bCs/>
        </w:rPr>
        <w:t xml:space="preserve">00 000 </w:t>
      </w:r>
      <w:r w:rsidRPr="00D56864">
        <w:rPr>
          <w:b/>
          <w:bCs/>
        </w:rPr>
        <w:t>Kč bez DPH</w:t>
      </w:r>
      <w:r w:rsidRPr="00B72A01">
        <w:rPr>
          <w:b/>
          <w:bCs/>
        </w:rPr>
        <w:t>.</w:t>
      </w:r>
    </w:p>
    <w:p w14:paraId="4A1B1324" w14:textId="3F82C805" w:rsidR="00F642FE" w:rsidRPr="006404AA" w:rsidRDefault="00B37F07" w:rsidP="00B37F07">
      <w:pPr>
        <w:pStyle w:val="Styl11"/>
        <w:numPr>
          <w:ilvl w:val="1"/>
          <w:numId w:val="1"/>
        </w:numPr>
        <w:ind w:left="567" w:hanging="567"/>
        <w:rPr>
          <w:b/>
          <w:bCs/>
        </w:rPr>
      </w:pPr>
      <w:r w:rsidRPr="006404AA">
        <w:rPr>
          <w:b/>
          <w:bCs/>
        </w:rPr>
        <w:t>Nabídková cena nesmí být vyšší než předpokládaná hodnota veřejné zakázky. Nesplnění této zadávací podmínky je důvodem k vyloučení z účasti v zadávacím řízení.</w:t>
      </w:r>
    </w:p>
    <w:p w14:paraId="59A199F9" w14:textId="77777777" w:rsidR="00186175" w:rsidRPr="002540A7" w:rsidRDefault="00186175" w:rsidP="00186175">
      <w:pPr>
        <w:pStyle w:val="Nadpis1"/>
        <w:rPr>
          <w:lang w:eastAsia="cs-CZ"/>
        </w:rPr>
      </w:pPr>
      <w:r w:rsidRPr="002540A7">
        <w:rPr>
          <w:lang w:eastAsia="cs-CZ"/>
        </w:rPr>
        <w:t>Zásady odpovědného zadávání</w:t>
      </w:r>
    </w:p>
    <w:p w14:paraId="279CC9DD" w14:textId="138715AF" w:rsidR="00186175" w:rsidRDefault="00186175" w:rsidP="00186175">
      <w:pPr>
        <w:pStyle w:val="Styl11"/>
        <w:numPr>
          <w:ilvl w:val="1"/>
          <w:numId w:val="1"/>
        </w:numPr>
        <w:ind w:left="709" w:hanging="709"/>
      </w:pPr>
      <w:bookmarkStart w:id="5" w:name="_Hlk97108530"/>
      <w:r>
        <w:t xml:space="preserve">Zadavatel má zájem </w:t>
      </w:r>
      <w:r w:rsidR="00ED18E2">
        <w:t>zohlednit v rámci realizace</w:t>
      </w:r>
      <w:r>
        <w:t xml:space="preserve"> veřejn</w:t>
      </w:r>
      <w:r w:rsidR="00ED18E2">
        <w:t>é</w:t>
      </w:r>
      <w:r>
        <w:t xml:space="preserve"> zakázk</w:t>
      </w:r>
      <w:r w:rsidR="00ED18E2">
        <w:t>y</w:t>
      </w:r>
      <w:r>
        <w:t xml:space="preserve"> zásad</w:t>
      </w:r>
      <w:r w:rsidR="00ED18E2">
        <w:t>y</w:t>
      </w:r>
      <w:r>
        <w:t xml:space="preserve"> společensky odpovědného veřejného zadávání („</w:t>
      </w:r>
      <w:r w:rsidRPr="00F26496">
        <w:rPr>
          <w:b/>
          <w:bCs/>
        </w:rPr>
        <w:t>SOVZ</w:t>
      </w:r>
      <w:r>
        <w:t>“)</w:t>
      </w:r>
      <w:r w:rsidR="00ED18E2">
        <w:t>, a to způsobem, kterým je to ve vztahu k předmětu plnění veřejné zakázky vhodné</w:t>
      </w:r>
      <w:r>
        <w:t>. SOVZ kromě důrazu na čistě ekonomické parametry zohledňuje také související dopady veřejné zakázky zejména v oblasti zaměstnanosti, sociálních a pracovních práv a životního prostředí.</w:t>
      </w:r>
    </w:p>
    <w:p w14:paraId="44F8E60C" w14:textId="77777777" w:rsidR="00186175" w:rsidRPr="00A2166A" w:rsidRDefault="00186175" w:rsidP="00186175">
      <w:pPr>
        <w:pStyle w:val="podnadpis"/>
      </w:pPr>
      <w:r w:rsidRPr="00A2166A">
        <w:t>Sociálně odpovědné zadávání</w:t>
      </w:r>
    </w:p>
    <w:p w14:paraId="1B9E2E22" w14:textId="403614A4" w:rsidR="00186175" w:rsidRDefault="00186175" w:rsidP="00186175">
      <w:pPr>
        <w:pStyle w:val="Styl11"/>
        <w:numPr>
          <w:ilvl w:val="1"/>
          <w:numId w:val="1"/>
        </w:numPr>
        <w:ind w:left="709" w:hanging="709"/>
      </w:pPr>
      <w:r>
        <w:t>Vzhledem k povaze předmětu veřejné zakázky zadavatel předpokládá, že uplatnění zásady sociálně odpovědného zadávání</w:t>
      </w:r>
      <w:r w:rsidR="00ED18E2">
        <w:t xml:space="preserve"> nad rámec splnění povinností vyplývajících z obecně závazných právních předpisů v pracovněprávní oblasti</w:t>
      </w:r>
      <w:r>
        <w:t xml:space="preserve"> není relevantní.</w:t>
      </w:r>
    </w:p>
    <w:p w14:paraId="1E5C84AD" w14:textId="77777777" w:rsidR="00186175" w:rsidRPr="00A2166A" w:rsidRDefault="00186175" w:rsidP="00186175">
      <w:pPr>
        <w:pStyle w:val="podnadpis"/>
      </w:pPr>
      <w:r w:rsidRPr="00A2166A">
        <w:t>Environmentálně odpovědné zadávání</w:t>
      </w:r>
    </w:p>
    <w:p w14:paraId="5E5AAEC6" w14:textId="2F531DB1" w:rsidR="00186175" w:rsidRPr="00D81ACA" w:rsidRDefault="00F2681F" w:rsidP="00F2681F">
      <w:pPr>
        <w:pStyle w:val="Styl1"/>
        <w:ind w:left="709" w:hanging="709"/>
      </w:pPr>
      <w:r w:rsidRPr="00F32352">
        <w:t xml:space="preserve">Dodavatel, se kterým bude uzavřena </w:t>
      </w:r>
      <w:r>
        <w:t>smlouva</w:t>
      </w:r>
      <w:r w:rsidRPr="00F32352">
        <w:t xml:space="preserve">, bude povinen při plnění veřejné zakázky </w:t>
      </w:r>
      <w:r>
        <w:t xml:space="preserve">a veškeré administrativní činnosti </w:t>
      </w:r>
      <w:r w:rsidRPr="00F32352">
        <w:t xml:space="preserve">postupovat tak, aby minimalizoval </w:t>
      </w:r>
      <w:r>
        <w:t>produkci všech druhů</w:t>
      </w:r>
      <w:r w:rsidRPr="00F32352">
        <w:t xml:space="preserve"> </w:t>
      </w:r>
      <w:r w:rsidRPr="00F32352">
        <w:lastRenderedPageBreak/>
        <w:t xml:space="preserve">odpadů. </w:t>
      </w:r>
      <w:r>
        <w:t>V případě jejich vzniku bude přednostně a v co největší míře usilovat o jejich další využití, recyklaci a další ekologicky šetrná řešení</w:t>
      </w:r>
      <w:r w:rsidR="00186175" w:rsidRPr="00D81ACA">
        <w:t>.</w:t>
      </w:r>
    </w:p>
    <w:p w14:paraId="57EFB82C" w14:textId="77777777" w:rsidR="00186175" w:rsidRPr="00A2166A" w:rsidRDefault="00186175" w:rsidP="00186175">
      <w:pPr>
        <w:pStyle w:val="podnadpis"/>
      </w:pPr>
      <w:r w:rsidRPr="00A2166A">
        <w:t>Inovace</w:t>
      </w:r>
    </w:p>
    <w:p w14:paraId="59B5F6D4" w14:textId="64376E2F" w:rsidR="00934592" w:rsidRDefault="00186175" w:rsidP="00191FD4">
      <w:pPr>
        <w:pStyle w:val="Styl11"/>
        <w:numPr>
          <w:ilvl w:val="1"/>
          <w:numId w:val="1"/>
        </w:numPr>
        <w:ind w:left="709" w:hanging="709"/>
      </w:pPr>
      <w:r>
        <w:t>Vzhledem k povaze předmětu veřejné zakázky zadavatel předpokládá, že uplatnění zásady inovací není relevantní.</w:t>
      </w:r>
      <w:bookmarkEnd w:id="5"/>
    </w:p>
    <w:p w14:paraId="4C6E291A" w14:textId="77777777" w:rsidR="00191FD4" w:rsidRDefault="00191FD4" w:rsidP="00191FD4">
      <w:pPr>
        <w:pStyle w:val="Nadpis1"/>
      </w:pPr>
      <w:bookmarkStart w:id="6" w:name="_Toc430959261"/>
      <w:r w:rsidRPr="005C6655">
        <w:t>Požadavky zadavatele na prokázání kvalifikace</w:t>
      </w:r>
      <w:bookmarkEnd w:id="6"/>
    </w:p>
    <w:p w14:paraId="392BAA81" w14:textId="77777777" w:rsidR="00191FD4" w:rsidRPr="00E87EF9" w:rsidRDefault="00191FD4" w:rsidP="00191FD4">
      <w:pPr>
        <w:pStyle w:val="podnadpis"/>
      </w:pPr>
      <w:bookmarkStart w:id="7" w:name="_Toc65511376"/>
      <w:bookmarkStart w:id="8" w:name="_Toc125393844"/>
      <w:bookmarkStart w:id="9" w:name="_Toc84330693"/>
      <w:r w:rsidRPr="00E87EF9">
        <w:t>Základní způsobilost</w:t>
      </w:r>
      <w:bookmarkEnd w:id="7"/>
      <w:bookmarkEnd w:id="8"/>
      <w:r>
        <w:t xml:space="preserve"> </w:t>
      </w:r>
      <w:bookmarkEnd w:id="9"/>
    </w:p>
    <w:p w14:paraId="5B38EB75" w14:textId="4A65A0C5" w:rsidR="00191FD4" w:rsidRPr="001C00CA" w:rsidRDefault="00191FD4" w:rsidP="00191FD4">
      <w:pPr>
        <w:pStyle w:val="Styl11"/>
        <w:numPr>
          <w:ilvl w:val="1"/>
          <w:numId w:val="1"/>
        </w:numPr>
        <w:ind w:left="709" w:hanging="709"/>
      </w:pPr>
      <w:r w:rsidRPr="001C00CA">
        <w:t xml:space="preserve">Zadavatel požaduje prokázání základní způsobilosti </w:t>
      </w:r>
      <w:r>
        <w:t>dle</w:t>
      </w:r>
      <w:r w:rsidRPr="001C00CA">
        <w:t xml:space="preserve"> ustanovení § 74 ZZVZ.</w:t>
      </w:r>
    </w:p>
    <w:p w14:paraId="31ADC41E" w14:textId="77777777" w:rsidR="00191FD4" w:rsidRPr="001C00CA" w:rsidRDefault="00191FD4" w:rsidP="00191FD4">
      <w:pPr>
        <w:pStyle w:val="Styl11"/>
        <w:numPr>
          <w:ilvl w:val="1"/>
          <w:numId w:val="1"/>
        </w:numPr>
        <w:ind w:left="709" w:hanging="709"/>
      </w:pPr>
      <w:bookmarkStart w:id="10" w:name="_Hlk66285439"/>
      <w:r w:rsidRPr="001C00CA">
        <w:t>Způsobilým není dodavatel:</w:t>
      </w:r>
    </w:p>
    <w:p w14:paraId="724979DA" w14:textId="512F0078" w:rsidR="00191FD4" w:rsidRPr="001C00CA" w:rsidRDefault="00191FD4" w:rsidP="00191FD4">
      <w:pPr>
        <w:pStyle w:val="Seznam-psmena"/>
        <w:numPr>
          <w:ilvl w:val="0"/>
          <w:numId w:val="7"/>
        </w:numPr>
        <w:ind w:left="993" w:hanging="284"/>
      </w:pPr>
      <w:r w:rsidRPr="001C00CA">
        <w:t xml:space="preserve">který byl v zemi svého sídla v posledních 5 letech před zahájením </w:t>
      </w:r>
      <w:r w:rsidR="00CF6425">
        <w:t>zadávacího</w:t>
      </w:r>
      <w:r w:rsidRPr="001C00CA">
        <w:t xml:space="preserve"> řízení pravomocně odsouzen pro trestný čin uvedený v příloze č. 3 k ZZVZ nebo obdobný trestný čin podle právního řádu země sídla dodavatele, přičemž k zahlazeným odsouzením se nepřihlíží,</w:t>
      </w:r>
    </w:p>
    <w:p w14:paraId="07D4A0ED" w14:textId="77777777" w:rsidR="00191FD4" w:rsidRPr="001C00CA" w:rsidRDefault="00191FD4" w:rsidP="00191FD4">
      <w:pPr>
        <w:pStyle w:val="Seznam-psmena"/>
        <w:numPr>
          <w:ilvl w:val="0"/>
          <w:numId w:val="0"/>
        </w:numPr>
        <w:ind w:left="993"/>
      </w:pPr>
      <w:r w:rsidRPr="001C00CA">
        <w:rPr>
          <w:i/>
        </w:rPr>
        <w:t>[POZN. zadavatele: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Účastní-li se zadávacího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r w:rsidRPr="001C00CA">
        <w:t>;</w:t>
      </w:r>
    </w:p>
    <w:p w14:paraId="032E59FA" w14:textId="77777777" w:rsidR="00191FD4" w:rsidRPr="001C00CA" w:rsidRDefault="00191FD4" w:rsidP="00191FD4">
      <w:pPr>
        <w:pStyle w:val="Seznam-psmena"/>
        <w:numPr>
          <w:ilvl w:val="0"/>
          <w:numId w:val="0"/>
        </w:numPr>
        <w:ind w:left="993"/>
        <w:rPr>
          <w:b/>
        </w:rPr>
      </w:pPr>
      <w:r w:rsidRPr="001C00CA">
        <w:t xml:space="preserve">dodavatel prokáže splnění podmínek základní způsobilosti ve vztahu k tomuto bodu předložením </w:t>
      </w:r>
      <w:r w:rsidRPr="001C00CA">
        <w:rPr>
          <w:b/>
        </w:rPr>
        <w:t>výpisu z evidence Rejstříku trestů</w:t>
      </w:r>
      <w:r w:rsidRPr="001C00CA">
        <w:t xml:space="preserve">; </w:t>
      </w:r>
    </w:p>
    <w:p w14:paraId="0A5912CD" w14:textId="77777777" w:rsidR="00191FD4" w:rsidRPr="001C00CA" w:rsidRDefault="00191FD4" w:rsidP="00191FD4">
      <w:pPr>
        <w:pStyle w:val="Seznam-psmena"/>
        <w:numPr>
          <w:ilvl w:val="0"/>
          <w:numId w:val="7"/>
        </w:numPr>
        <w:ind w:left="993" w:hanging="284"/>
      </w:pPr>
      <w:r w:rsidRPr="001C00CA">
        <w:t>který má v České republice nebo v zemi svého sídla v evidenci daní zachycen splatný daňový nedoplatek,</w:t>
      </w:r>
    </w:p>
    <w:p w14:paraId="1632E6F7" w14:textId="77777777" w:rsidR="00191FD4" w:rsidRPr="009D4468" w:rsidRDefault="00191FD4" w:rsidP="00191FD4">
      <w:pPr>
        <w:pStyle w:val="Seznam-psmena"/>
        <w:numPr>
          <w:ilvl w:val="0"/>
          <w:numId w:val="0"/>
        </w:numPr>
        <w:ind w:left="993"/>
        <w:rPr>
          <w:b/>
        </w:rPr>
      </w:pPr>
      <w:r w:rsidRPr="001C00CA">
        <w:t xml:space="preserve">dodavatel prokáže splnění podmínek základní </w:t>
      </w:r>
      <w:r w:rsidRPr="009D4468">
        <w:t>způsobilosti ve vztahu k tomuto bodu předložením</w:t>
      </w:r>
      <w:r w:rsidRPr="009D4468">
        <w:rPr>
          <w:b/>
        </w:rPr>
        <w:t xml:space="preserve"> potvrzení příslušného finančního úřadu </w:t>
      </w:r>
      <w:r w:rsidRPr="009D4468">
        <w:t xml:space="preserve">a ve vztahu ke spotřební dani předložením </w:t>
      </w:r>
      <w:r w:rsidRPr="009D4468">
        <w:rPr>
          <w:b/>
          <w:bCs/>
        </w:rPr>
        <w:t>písemného</w:t>
      </w:r>
      <w:r w:rsidRPr="009D4468">
        <w:t xml:space="preserve"> </w:t>
      </w:r>
      <w:r w:rsidRPr="009D4468">
        <w:rPr>
          <w:b/>
        </w:rPr>
        <w:t>čestného prohlášení dodavatele</w:t>
      </w:r>
      <w:r w:rsidRPr="009D4468">
        <w:t xml:space="preserve">; </w:t>
      </w:r>
    </w:p>
    <w:p w14:paraId="39D356D1" w14:textId="21A187DE" w:rsidR="00191FD4" w:rsidRPr="000F56C5" w:rsidRDefault="00191FD4" w:rsidP="00191FD4">
      <w:pPr>
        <w:pStyle w:val="Seznam-psmena"/>
        <w:numPr>
          <w:ilvl w:val="0"/>
          <w:numId w:val="0"/>
        </w:numPr>
        <w:ind w:left="993"/>
      </w:pPr>
      <w:r w:rsidRPr="009D4468">
        <w:t xml:space="preserve">dodavatel může využít vzoru čestného prohlášení, </w:t>
      </w:r>
      <w:r w:rsidRPr="000F56C5">
        <w:t xml:space="preserve">který je </w:t>
      </w:r>
      <w:r w:rsidRPr="000F56C5">
        <w:rPr>
          <w:rStyle w:val="Zdraznnjemn"/>
          <w:iCs/>
        </w:rPr>
        <w:t xml:space="preserve">Přílohou č. </w:t>
      </w:r>
      <w:r w:rsidR="00851765" w:rsidRPr="000F56C5">
        <w:rPr>
          <w:rStyle w:val="Zdraznnjemn"/>
          <w:iCs/>
        </w:rPr>
        <w:t>3</w:t>
      </w:r>
      <w:r w:rsidRPr="000F56C5">
        <w:rPr>
          <w:rStyle w:val="Zdraznnjemn"/>
        </w:rPr>
        <w:t xml:space="preserve"> </w:t>
      </w:r>
      <w:r w:rsidRPr="000F56C5">
        <w:t>této zadávací dokumentace;</w:t>
      </w:r>
    </w:p>
    <w:p w14:paraId="7BB65588" w14:textId="77777777" w:rsidR="00191FD4" w:rsidRPr="000F56C5" w:rsidRDefault="00191FD4" w:rsidP="00191FD4">
      <w:pPr>
        <w:pStyle w:val="Seznam-psmena"/>
        <w:numPr>
          <w:ilvl w:val="0"/>
          <w:numId w:val="7"/>
        </w:numPr>
        <w:ind w:left="993" w:hanging="284"/>
      </w:pPr>
      <w:r w:rsidRPr="000F56C5">
        <w:t>který má v České republice nebo v zemi svého sídla splatný nedoplatek na pojistném nebo na penále na veřejné zdravotní pojištění,</w:t>
      </w:r>
    </w:p>
    <w:p w14:paraId="1CFC38CC" w14:textId="77777777" w:rsidR="00191FD4" w:rsidRPr="000F56C5" w:rsidRDefault="00191FD4" w:rsidP="00191FD4">
      <w:pPr>
        <w:pStyle w:val="Seznam-psmena"/>
        <w:numPr>
          <w:ilvl w:val="0"/>
          <w:numId w:val="0"/>
        </w:numPr>
        <w:ind w:left="993"/>
      </w:pPr>
      <w:r w:rsidRPr="000F56C5">
        <w:t xml:space="preserve">dodavatel prokáže splnění podmínek základní způsobilosti ve vztahu k tomuto bodu předložením </w:t>
      </w:r>
      <w:r w:rsidRPr="000F56C5">
        <w:rPr>
          <w:b/>
          <w:bCs/>
        </w:rPr>
        <w:t>písemného</w:t>
      </w:r>
      <w:r w:rsidRPr="000F56C5">
        <w:t xml:space="preserve"> </w:t>
      </w:r>
      <w:r w:rsidRPr="000F56C5">
        <w:rPr>
          <w:b/>
          <w:bCs/>
        </w:rPr>
        <w:t>čestného prohlášení</w:t>
      </w:r>
      <w:r w:rsidRPr="000F56C5">
        <w:t xml:space="preserve">; </w:t>
      </w:r>
    </w:p>
    <w:p w14:paraId="131B9D4A" w14:textId="066BD61F" w:rsidR="00191FD4" w:rsidRPr="009D4468" w:rsidRDefault="00191FD4" w:rsidP="00191FD4">
      <w:pPr>
        <w:pStyle w:val="Seznam-psmena"/>
        <w:numPr>
          <w:ilvl w:val="0"/>
          <w:numId w:val="0"/>
        </w:numPr>
        <w:ind w:left="993"/>
      </w:pPr>
      <w:r w:rsidRPr="000F56C5">
        <w:t xml:space="preserve">dodavatel může využít vzoru čestného prohlášení, který je </w:t>
      </w:r>
      <w:r w:rsidR="00851765" w:rsidRPr="000F56C5">
        <w:rPr>
          <w:rStyle w:val="Zdraznnjemn"/>
          <w:iCs/>
        </w:rPr>
        <w:t>Přílohou č. 3</w:t>
      </w:r>
      <w:r w:rsidR="00851765" w:rsidRPr="000F56C5">
        <w:rPr>
          <w:rStyle w:val="Zdraznnjemn"/>
        </w:rPr>
        <w:t xml:space="preserve"> </w:t>
      </w:r>
      <w:r w:rsidRPr="000F56C5">
        <w:t>této</w:t>
      </w:r>
      <w:r w:rsidRPr="009D4468">
        <w:t xml:space="preserve"> zadávací dokumentace;</w:t>
      </w:r>
    </w:p>
    <w:p w14:paraId="256DD5AF" w14:textId="77777777" w:rsidR="00191FD4" w:rsidRPr="00FC582A" w:rsidRDefault="00191FD4" w:rsidP="00191FD4">
      <w:pPr>
        <w:pStyle w:val="Seznam-psmena"/>
        <w:numPr>
          <w:ilvl w:val="0"/>
          <w:numId w:val="7"/>
        </w:numPr>
        <w:ind w:left="993" w:hanging="284"/>
      </w:pPr>
      <w:r w:rsidRPr="009D4468">
        <w:lastRenderedPageBreak/>
        <w:t>který má v České republice nebo v zemi svého sídla splatný nedoplatek na pojistném n</w:t>
      </w:r>
      <w:r w:rsidRPr="00FC582A">
        <w:t>ebo na penále na sociální zabezpečení a příspěvku na státní politiku zaměstnanosti,</w:t>
      </w:r>
    </w:p>
    <w:p w14:paraId="26453EB8" w14:textId="52829EBE" w:rsidR="00191FD4" w:rsidRPr="00293715" w:rsidRDefault="00191FD4" w:rsidP="00293715">
      <w:pPr>
        <w:pStyle w:val="Seznam-psmena"/>
        <w:numPr>
          <w:ilvl w:val="0"/>
          <w:numId w:val="0"/>
        </w:numPr>
        <w:ind w:left="993"/>
        <w:rPr>
          <w:b/>
        </w:rPr>
      </w:pPr>
      <w:r w:rsidRPr="00FC582A">
        <w:t xml:space="preserve">dodavatel prokáže splnění podmínek základní způsobilosti ve vztahu k tomuto bodu předložením </w:t>
      </w:r>
      <w:r w:rsidRPr="00FC582A">
        <w:rPr>
          <w:b/>
        </w:rPr>
        <w:t xml:space="preserve">potvrzení příslušné </w:t>
      </w:r>
      <w:r w:rsidR="00540A2C">
        <w:rPr>
          <w:b/>
        </w:rPr>
        <w:t>územní</w:t>
      </w:r>
      <w:r w:rsidRPr="00FC582A">
        <w:rPr>
          <w:b/>
        </w:rPr>
        <w:t xml:space="preserve"> správy sociálního zabezpečení</w:t>
      </w:r>
      <w:r w:rsidR="002C720A" w:rsidRPr="00FC582A">
        <w:t>.</w:t>
      </w:r>
    </w:p>
    <w:p w14:paraId="4983F2AF" w14:textId="77777777" w:rsidR="00191FD4" w:rsidRPr="001C00CA" w:rsidRDefault="00191FD4" w:rsidP="00191FD4">
      <w:pPr>
        <w:pStyle w:val="Seznam-psmena"/>
        <w:numPr>
          <w:ilvl w:val="0"/>
          <w:numId w:val="7"/>
        </w:numPr>
        <w:ind w:left="993" w:hanging="284"/>
      </w:pPr>
      <w:r w:rsidRPr="001C00CA">
        <w:t>který je v likvidaci, proti němuž bylo vydáno rozhodnutí o úpadku, vůči němuž byla nařízena nucená správa podle jiného právního předpisu nebo v obdobné situaci podle právního řádu země sídla dodavatele,</w:t>
      </w:r>
    </w:p>
    <w:p w14:paraId="66020C3F" w14:textId="77777777" w:rsidR="00191FD4" w:rsidRPr="009D4468" w:rsidRDefault="00191FD4" w:rsidP="00191FD4">
      <w:pPr>
        <w:pStyle w:val="Psmena"/>
        <w:numPr>
          <w:ilvl w:val="0"/>
          <w:numId w:val="0"/>
        </w:numPr>
        <w:ind w:left="993"/>
        <w:rPr>
          <w:rStyle w:val="Zdraznnjemn"/>
          <w:b/>
        </w:rPr>
      </w:pPr>
      <w:r w:rsidRPr="001C00CA">
        <w:rPr>
          <w:rStyle w:val="Zdraznnjemn"/>
        </w:rPr>
        <w:t xml:space="preserve">dodavatel prokáže splnění podmínek základní způsobilosti ve vztahu k tomuto bodu předložením </w:t>
      </w:r>
      <w:r w:rsidRPr="001C00CA">
        <w:rPr>
          <w:rStyle w:val="Zdraznnjemn"/>
          <w:b/>
        </w:rPr>
        <w:t xml:space="preserve">výpisu z obchodního rejstříku, </w:t>
      </w:r>
      <w:r w:rsidRPr="001C00CA">
        <w:rPr>
          <w:rStyle w:val="Zdraznnjemn"/>
        </w:rPr>
        <w:t xml:space="preserve">nebo </w:t>
      </w:r>
      <w:r w:rsidRPr="009D4468">
        <w:rPr>
          <w:rStyle w:val="Zdraznnjemn"/>
        </w:rPr>
        <w:t>předložením</w:t>
      </w:r>
      <w:r w:rsidRPr="009D4468">
        <w:rPr>
          <w:rStyle w:val="Zdraznnjemn"/>
          <w:b/>
        </w:rPr>
        <w:t xml:space="preserve"> písemného čestného prohlášení v případě, že není v obchodním rejstříku zapsán</w:t>
      </w:r>
      <w:r w:rsidRPr="009D4468">
        <w:rPr>
          <w:rStyle w:val="Zdraznnjemn"/>
        </w:rPr>
        <w:t>;</w:t>
      </w:r>
      <w:r w:rsidRPr="009D4468">
        <w:rPr>
          <w:rStyle w:val="Zdraznnjemn"/>
          <w:b/>
        </w:rPr>
        <w:t xml:space="preserve"> </w:t>
      </w:r>
    </w:p>
    <w:p w14:paraId="779CC392" w14:textId="223BE563" w:rsidR="00191FD4" w:rsidRPr="009D4468" w:rsidRDefault="00191FD4" w:rsidP="00191FD4">
      <w:pPr>
        <w:pStyle w:val="Psmena"/>
        <w:numPr>
          <w:ilvl w:val="0"/>
          <w:numId w:val="0"/>
        </w:numPr>
        <w:ind w:left="993"/>
      </w:pPr>
      <w:r w:rsidRPr="009D4468">
        <w:rPr>
          <w:rStyle w:val="Zdraznnjemn"/>
        </w:rPr>
        <w:t xml:space="preserve">dodavatel může využít vzoru čestného prohlášení, který je </w:t>
      </w:r>
      <w:r w:rsidRPr="000F56C5">
        <w:rPr>
          <w:rStyle w:val="Zdraznnjemn"/>
          <w:iCs/>
        </w:rPr>
        <w:t xml:space="preserve">Přílohou č. </w:t>
      </w:r>
      <w:r w:rsidR="009515CD" w:rsidRPr="000F56C5">
        <w:rPr>
          <w:rStyle w:val="Zdraznnjemn"/>
          <w:iCs/>
        </w:rPr>
        <w:t>3</w:t>
      </w:r>
      <w:r w:rsidRPr="000F56C5">
        <w:rPr>
          <w:rStyle w:val="Zdraznnjemn"/>
        </w:rPr>
        <w:t xml:space="preserve"> této zadávací</w:t>
      </w:r>
      <w:r w:rsidRPr="009D4468">
        <w:rPr>
          <w:rStyle w:val="Zdraznnjemn"/>
        </w:rPr>
        <w:t xml:space="preserve"> dokumentace.</w:t>
      </w:r>
      <w:bookmarkEnd w:id="10"/>
    </w:p>
    <w:p w14:paraId="520E9CB3" w14:textId="56D84E8C" w:rsidR="00C00822" w:rsidRDefault="00C00822" w:rsidP="00C00822">
      <w:pPr>
        <w:pStyle w:val="Styl1"/>
        <w:ind w:left="567" w:hanging="567"/>
      </w:pPr>
      <w:r w:rsidRPr="009D4468">
        <w:t>Základní způsobilost se v nabídce prokazuje předložením dokladů uvedených výše. Doklady musí prokazovat splnění požadovaného kritéria základní způsobilosti nejpozději v době</w:t>
      </w:r>
      <w:r>
        <w:t xml:space="preserve"> 3 měsíců </w:t>
      </w:r>
      <w:r w:rsidRPr="00E21228">
        <w:t>přede dnem zahájení zadávacího řízen</w:t>
      </w:r>
      <w:r>
        <w:t xml:space="preserve">í. </w:t>
      </w:r>
    </w:p>
    <w:p w14:paraId="29FA9228" w14:textId="77777777" w:rsidR="009C49A0" w:rsidRPr="00EF7210" w:rsidRDefault="009C49A0" w:rsidP="009C49A0">
      <w:pPr>
        <w:pStyle w:val="Nadpis2"/>
        <w:rPr>
          <w:rFonts w:ascii="Palatino Linotype" w:hAnsi="Palatino Linotype"/>
          <w:b/>
          <w:bCs/>
          <w:color w:val="00B0F0"/>
          <w:sz w:val="24"/>
          <w:szCs w:val="24"/>
        </w:rPr>
      </w:pPr>
      <w:r w:rsidRPr="00EF7210">
        <w:rPr>
          <w:rFonts w:ascii="Palatino Linotype" w:hAnsi="Palatino Linotype"/>
          <w:b/>
          <w:bCs/>
          <w:color w:val="00B0F0"/>
          <w:sz w:val="24"/>
          <w:szCs w:val="24"/>
        </w:rPr>
        <w:t xml:space="preserve">Profesní způsobilost </w:t>
      </w:r>
    </w:p>
    <w:p w14:paraId="0CC5D975" w14:textId="1BD16E58" w:rsidR="009C49A0" w:rsidRDefault="009C49A0" w:rsidP="00E04BE8">
      <w:pPr>
        <w:pStyle w:val="Styl1"/>
        <w:ind w:left="567" w:hanging="567"/>
      </w:pPr>
      <w:r w:rsidRPr="00F6360A">
        <w:t>Zadavatel</w:t>
      </w:r>
      <w:r>
        <w:t xml:space="preserve"> požaduje prokázání profesní způsobilosti dle § 77 odst. 1 ZZVZ.</w:t>
      </w:r>
    </w:p>
    <w:p w14:paraId="1D341793" w14:textId="77777777" w:rsidR="009C49A0" w:rsidRPr="009D6777" w:rsidRDefault="009C49A0" w:rsidP="00E04BE8">
      <w:pPr>
        <w:pStyle w:val="Styl1"/>
        <w:ind w:left="567" w:hanging="567"/>
      </w:pPr>
      <w:r w:rsidRPr="009D6777">
        <w:t xml:space="preserve">Dle § 77 odst. 1 ZZVZ prokazuje dodavatel splnění profesní způsobilosti ve vztahu k České republice předložením výpisu z obchodního rejstříku nebo jiné obdobné evidence, pokud jiný právní předpis zápis do takové evidence vyžaduje. </w:t>
      </w:r>
    </w:p>
    <w:p w14:paraId="72793379" w14:textId="77777777" w:rsidR="009C49A0" w:rsidRDefault="009C49A0" w:rsidP="00A66B96">
      <w:pPr>
        <w:pStyle w:val="Odstavecseseznamem"/>
        <w:numPr>
          <w:ilvl w:val="0"/>
          <w:numId w:val="9"/>
        </w:numPr>
      </w:pPr>
      <w:r w:rsidRPr="009D6777">
        <w:t xml:space="preserve">Dodavatel prokáže splnění podmínek profesní způsobilosti ve vztahu k tomuto bodu předložením </w:t>
      </w:r>
      <w:r w:rsidRPr="00A66B96">
        <w:rPr>
          <w:b/>
          <w:bCs/>
        </w:rPr>
        <w:t>výpisu z obchodního rejstříku nebo jiné obdobné evidence</w:t>
      </w:r>
      <w:r w:rsidRPr="009D6777">
        <w:t>.</w:t>
      </w:r>
    </w:p>
    <w:p w14:paraId="7A923A6B" w14:textId="39A94679" w:rsidR="009C49A0" w:rsidRDefault="009C49A0" w:rsidP="00E04BE8">
      <w:pPr>
        <w:pStyle w:val="Styl1"/>
        <w:ind w:left="567" w:hanging="567"/>
      </w:pPr>
      <w:r w:rsidRPr="00974B53">
        <w:t>Výše požadovaný doklad nemusí dodavatel předložit, pokud právní předpisy v zemi jeho sídla obdobnou profesní způsobilost nevyžadují. V takovém případě zadavatel požaduje, aby dodavatel součástí nabídky učinil</w:t>
      </w:r>
      <w:r w:rsidR="00A0530F">
        <w:t xml:space="preserve"> písemné</w:t>
      </w:r>
      <w:r w:rsidRPr="00974B53">
        <w:t xml:space="preserve"> čestné prohlášení obsahující sdělení skutečnosti, že právní předpisy v zemi sídla dodavatele obdobnou profesní způsobilost nevyžadují, a tudíž že dodavatel není objektivně schopen zadavatelem požadovaný doklad k prokázání profesní způsobilosti předložit.</w:t>
      </w:r>
    </w:p>
    <w:p w14:paraId="4934189D" w14:textId="17C44827" w:rsidR="0012631C" w:rsidRDefault="0012631C" w:rsidP="0012631C">
      <w:pPr>
        <w:pStyle w:val="podnadpis"/>
      </w:pPr>
      <w:r w:rsidRPr="0012631C">
        <w:t>Technická kvalifikace</w:t>
      </w:r>
    </w:p>
    <w:p w14:paraId="00FF9CD9" w14:textId="77777777" w:rsidR="00082135" w:rsidRPr="00082135" w:rsidRDefault="00082135" w:rsidP="00956B23">
      <w:pPr>
        <w:pStyle w:val="Styl1"/>
        <w:ind w:left="567" w:hanging="567"/>
      </w:pPr>
      <w:r w:rsidRPr="00082135">
        <w:t>Zadavatel nepožaduje prokázání splnění technické kvalifikace dle § 79 ZZVZ.</w:t>
      </w:r>
    </w:p>
    <w:p w14:paraId="54BBFDC8" w14:textId="77777777" w:rsidR="003A4B81" w:rsidRPr="000A75CE" w:rsidRDefault="003A4B81" w:rsidP="003A4B81">
      <w:pPr>
        <w:pStyle w:val="podnadpis"/>
      </w:pPr>
      <w:bookmarkStart w:id="11" w:name="_Toc430959265"/>
      <w:r w:rsidRPr="000A75CE">
        <w:t>Způsob prokázání kvalifikace v nabídce</w:t>
      </w:r>
      <w:bookmarkEnd w:id="11"/>
    </w:p>
    <w:p w14:paraId="4B03C144" w14:textId="77777777" w:rsidR="003A4B81" w:rsidRPr="00AB5731" w:rsidRDefault="003A4B81" w:rsidP="003A4B81">
      <w:pPr>
        <w:pStyle w:val="Styl11"/>
        <w:numPr>
          <w:ilvl w:val="1"/>
          <w:numId w:val="1"/>
        </w:numPr>
        <w:ind w:left="709" w:hanging="709"/>
      </w:pPr>
      <w:r w:rsidRPr="00AB5731">
        <w:t xml:space="preserve">Dodavatel předkládá k prokázání splnění kvalifikace </w:t>
      </w:r>
      <w:r w:rsidRPr="00AB5731">
        <w:rPr>
          <w:b/>
        </w:rPr>
        <w:t>prosté kopie dokladů</w:t>
      </w:r>
      <w:r w:rsidRPr="00AB5731">
        <w:t>.</w:t>
      </w:r>
    </w:p>
    <w:p w14:paraId="6A1A1ED9" w14:textId="602B1045" w:rsidR="003A4B81" w:rsidRDefault="003A4B81" w:rsidP="003A4B81">
      <w:pPr>
        <w:pStyle w:val="Styl11"/>
        <w:numPr>
          <w:ilvl w:val="1"/>
          <w:numId w:val="1"/>
        </w:numPr>
        <w:ind w:left="709" w:hanging="709"/>
        <w:rPr>
          <w:rStyle w:val="Zdraznnjemn"/>
        </w:rPr>
      </w:pPr>
      <w:r>
        <w:rPr>
          <w:rStyle w:val="Zdraznnjemn"/>
        </w:rPr>
        <w:t xml:space="preserve">Dodavatel </w:t>
      </w:r>
      <w:r w:rsidR="0076344B">
        <w:rPr>
          <w:rStyle w:val="Zdraznnjemn"/>
        </w:rPr>
        <w:t>je</w:t>
      </w:r>
      <w:r>
        <w:rPr>
          <w:rStyle w:val="Zdraznnjemn"/>
        </w:rPr>
        <w:t xml:space="preserve"> oprávněn v nabídce</w:t>
      </w:r>
      <w:r w:rsidRPr="00A950CD">
        <w:rPr>
          <w:rStyle w:val="Zdraznnjemn"/>
        </w:rPr>
        <w:t xml:space="preserve"> v souladu s ustanovením § </w:t>
      </w:r>
      <w:r w:rsidR="006622FA">
        <w:rPr>
          <w:rStyle w:val="Zdraznnjemn"/>
        </w:rPr>
        <w:t>86</w:t>
      </w:r>
      <w:r w:rsidRPr="00A950CD">
        <w:rPr>
          <w:rStyle w:val="Zdraznnjemn"/>
        </w:rPr>
        <w:t xml:space="preserve"> ZZVZ nahradit</w:t>
      </w:r>
      <w:r>
        <w:rPr>
          <w:rStyle w:val="Zdraznnjemn"/>
        </w:rPr>
        <w:t xml:space="preserve"> požadované</w:t>
      </w:r>
      <w:r w:rsidRPr="00A950CD">
        <w:rPr>
          <w:rStyle w:val="Zdraznnjemn"/>
        </w:rPr>
        <w:t xml:space="preserve"> doklady</w:t>
      </w:r>
      <w:r>
        <w:rPr>
          <w:rStyle w:val="Zdraznnjemn"/>
        </w:rPr>
        <w:t xml:space="preserve"> k prokázání splnění kvalifikace</w:t>
      </w:r>
      <w:r w:rsidRPr="00A950CD">
        <w:rPr>
          <w:rStyle w:val="Zdraznnjemn"/>
        </w:rPr>
        <w:t xml:space="preserve"> předložením</w:t>
      </w:r>
      <w:r w:rsidR="00A0530F">
        <w:rPr>
          <w:rStyle w:val="Zdraznnjemn"/>
        </w:rPr>
        <w:t xml:space="preserve"> písemného</w:t>
      </w:r>
      <w:r w:rsidRPr="00A950CD">
        <w:rPr>
          <w:rStyle w:val="Zdraznnjemn"/>
        </w:rPr>
        <w:t xml:space="preserve"> čestného prohlášení</w:t>
      </w:r>
      <w:r w:rsidR="002F721B">
        <w:rPr>
          <w:rStyle w:val="Zdraznnjemn"/>
        </w:rPr>
        <w:t xml:space="preserve">, či </w:t>
      </w:r>
      <w:r w:rsidRPr="00BF5915">
        <w:rPr>
          <w:rStyle w:val="Zdraznnjemn"/>
        </w:rPr>
        <w:t>předložením jednotného evropského osvědčení pro veřejné zakázky podle § 87 ZZVZ</w:t>
      </w:r>
      <w:r>
        <w:rPr>
          <w:rStyle w:val="Zdraznnjemn"/>
        </w:rPr>
        <w:t>.</w:t>
      </w:r>
    </w:p>
    <w:p w14:paraId="335C3CB2" w14:textId="77777777" w:rsidR="003A4B81" w:rsidRDefault="003A4B81" w:rsidP="003A4B81">
      <w:pPr>
        <w:pStyle w:val="Styl11"/>
        <w:numPr>
          <w:ilvl w:val="1"/>
          <w:numId w:val="1"/>
        </w:numPr>
        <w:ind w:left="709" w:hanging="709"/>
      </w:pPr>
      <w:bookmarkStart w:id="12" w:name="_Ref496100001"/>
      <w:r>
        <w:t xml:space="preserve">Dodavatel je v souladu s ustanovením § 45 odst. 4 ZZVZ oprávněn povinnost předložit doklad splnit </w:t>
      </w:r>
      <w:r w:rsidRPr="0062406B">
        <w:rPr>
          <w:b/>
        </w:rPr>
        <w:t>odkazem</w:t>
      </w:r>
      <w:r>
        <w:t xml:space="preserve"> na odpovídající informace vedené v </w:t>
      </w:r>
      <w:r w:rsidRPr="0062406B">
        <w:rPr>
          <w:b/>
        </w:rPr>
        <w:t>informačním systému veřejné správy</w:t>
      </w:r>
      <w:r>
        <w:t xml:space="preserve"> </w:t>
      </w:r>
      <w:r>
        <w:lastRenderedPageBreak/>
        <w:t>nebo v obdobném systému vedeném v jiném členském státu, který umožňuje neomezený dálkový přístup. Takový odkaz musí obsahovat internetovou adresu a údaje pro přihlášení a vyhledání požadované informace, jsou-li takové údaje nezbytné.</w:t>
      </w:r>
      <w:bookmarkEnd w:id="12"/>
    </w:p>
    <w:p w14:paraId="749141CB" w14:textId="5437D4B7" w:rsidR="003A4B81" w:rsidRDefault="003A4B81" w:rsidP="00A0530F">
      <w:pPr>
        <w:pStyle w:val="Styl11"/>
        <w:numPr>
          <w:ilvl w:val="1"/>
          <w:numId w:val="1"/>
        </w:numPr>
        <w:ind w:left="709" w:hanging="709"/>
      </w:pPr>
      <w:r w:rsidRPr="002974EC">
        <w:t xml:space="preserve">Dodavatel je </w:t>
      </w:r>
      <w:r>
        <w:t xml:space="preserve">v souladu s ustanovením § 45 odst. 3 ZZVZ </w:t>
      </w:r>
      <w:r w:rsidRPr="002974EC">
        <w:t>oprávněn předložit obdobný doklad podle právního řádu státu svého sídla, ve kterém se tento doklad vydává</w:t>
      </w:r>
      <w:r w:rsidR="00B07A3A" w:rsidRPr="009D6777">
        <w:t xml:space="preserve">. Takový doklad předkládá dodavatel </w:t>
      </w:r>
      <w:r w:rsidR="00B07A3A" w:rsidRPr="009D6777">
        <w:rPr>
          <w:b/>
          <w:bCs/>
        </w:rPr>
        <w:t>s prostým překladem do českého jazyka</w:t>
      </w:r>
      <w:r w:rsidR="00A0530F">
        <w:t>.</w:t>
      </w:r>
      <w:r w:rsidRPr="002974EC">
        <w:t xml:space="preserve"> V pochybnostech o správnosti překladu si může zadavatel vyžádat předložení úředně ověřeného překladu dokladu. Doklady ve slovenském jazyce a doklady o vzdělání v latinském jazyce se předkládají bez předkladu.</w:t>
      </w:r>
      <w:r>
        <w:t xml:space="preserve"> Pokud se podle příslušného právního řádu požadovaný doklad nevydává, může být nahrazen </w:t>
      </w:r>
      <w:r w:rsidR="00A0530F">
        <w:t xml:space="preserve">písemným </w:t>
      </w:r>
      <w:r>
        <w:t>čestným prohlášením.</w:t>
      </w:r>
    </w:p>
    <w:p w14:paraId="0395ED61" w14:textId="78827EC5" w:rsidR="003A4B81" w:rsidRDefault="003A4B81" w:rsidP="003A4B81">
      <w:pPr>
        <w:pStyle w:val="Styl11"/>
        <w:numPr>
          <w:ilvl w:val="1"/>
          <w:numId w:val="1"/>
        </w:numPr>
        <w:ind w:left="709" w:hanging="709"/>
      </w:pPr>
      <w:r w:rsidRPr="006F3DF6">
        <w:t xml:space="preserve">Zadavatel upozorňuje, že </w:t>
      </w:r>
      <w:r w:rsidRPr="00434E93">
        <w:rPr>
          <w:b/>
          <w:bCs/>
        </w:rPr>
        <w:t xml:space="preserve">vybraný dodavatel </w:t>
      </w:r>
      <w:r w:rsidR="00AE6C88">
        <w:rPr>
          <w:b/>
          <w:bCs/>
        </w:rPr>
        <w:t>může být</w:t>
      </w:r>
      <w:r w:rsidRPr="00434E93">
        <w:rPr>
          <w:b/>
          <w:bCs/>
        </w:rPr>
        <w:t xml:space="preserve"> v souladu s ustanovením § 122 odst. </w:t>
      </w:r>
      <w:r w:rsidR="00AE6C88">
        <w:rPr>
          <w:b/>
          <w:bCs/>
        </w:rPr>
        <w:t>3</w:t>
      </w:r>
      <w:r w:rsidR="00960681">
        <w:rPr>
          <w:b/>
          <w:bCs/>
        </w:rPr>
        <w:t xml:space="preserve"> ZZVZ</w:t>
      </w:r>
      <w:r w:rsidR="00AE6C88">
        <w:rPr>
          <w:b/>
          <w:bCs/>
        </w:rPr>
        <w:t xml:space="preserve"> ve spojení s § 122 odst. 4</w:t>
      </w:r>
      <w:r w:rsidRPr="00434E93">
        <w:rPr>
          <w:b/>
          <w:bCs/>
        </w:rPr>
        <w:t xml:space="preserve"> ZZVZ </w:t>
      </w:r>
      <w:r w:rsidR="00AE6C88">
        <w:rPr>
          <w:b/>
          <w:bCs/>
        </w:rPr>
        <w:t>vyzván k předložení</w:t>
      </w:r>
      <w:r w:rsidRPr="00434E93">
        <w:rPr>
          <w:b/>
          <w:bCs/>
        </w:rPr>
        <w:t xml:space="preserve"> originál</w:t>
      </w:r>
      <w:r w:rsidR="00AE6C88">
        <w:rPr>
          <w:b/>
          <w:bCs/>
        </w:rPr>
        <w:t>ů</w:t>
      </w:r>
      <w:r w:rsidRPr="00434E93">
        <w:rPr>
          <w:b/>
          <w:bCs/>
        </w:rPr>
        <w:t xml:space="preserve"> nebo </w:t>
      </w:r>
      <w:r w:rsidR="00AE6C88">
        <w:rPr>
          <w:b/>
          <w:bCs/>
        </w:rPr>
        <w:t xml:space="preserve">úředně </w:t>
      </w:r>
      <w:r w:rsidRPr="00434E93">
        <w:rPr>
          <w:b/>
          <w:bCs/>
        </w:rPr>
        <w:t>ověřen</w:t>
      </w:r>
      <w:r w:rsidR="00AE6C88">
        <w:rPr>
          <w:b/>
          <w:bCs/>
        </w:rPr>
        <w:t>ých</w:t>
      </w:r>
      <w:r w:rsidRPr="00434E93">
        <w:rPr>
          <w:b/>
          <w:bCs/>
        </w:rPr>
        <w:t xml:space="preserve"> kopi</w:t>
      </w:r>
      <w:r w:rsidR="00AE6C88">
        <w:rPr>
          <w:b/>
          <w:bCs/>
        </w:rPr>
        <w:t>í</w:t>
      </w:r>
      <w:r w:rsidRPr="00434E93">
        <w:rPr>
          <w:b/>
          <w:bCs/>
        </w:rPr>
        <w:t xml:space="preserve"> dokladů</w:t>
      </w:r>
      <w:r w:rsidRPr="006F3DF6">
        <w:t xml:space="preserve"> prokazujících splnění kvalifikace, pokud tyto doklady</w:t>
      </w:r>
      <w:r w:rsidR="00AE6C88">
        <w:t xml:space="preserve"> v dané „kvalitě“ dokumentu (originál či úředně ověřená kopie)</w:t>
      </w:r>
      <w:r w:rsidRPr="006F3DF6">
        <w:t xml:space="preserve"> nepředložil již v průběhu zadávacího řízení.</w:t>
      </w:r>
    </w:p>
    <w:p w14:paraId="48CF3FBC" w14:textId="319182CB" w:rsidR="00FD3F1E" w:rsidRPr="00D822E1" w:rsidRDefault="00FD3F1E" w:rsidP="00FD3F1E">
      <w:pPr>
        <w:pStyle w:val="podnadpis"/>
      </w:pPr>
      <w:r w:rsidRPr="00D822E1">
        <w:t>Kvalifikace v případě společné účasti dodavatelů</w:t>
      </w:r>
    </w:p>
    <w:p w14:paraId="51CCF187" w14:textId="77777777" w:rsidR="00FD3F1E" w:rsidRPr="005C6655" w:rsidRDefault="00FD3F1E" w:rsidP="00FD3F1E">
      <w:pPr>
        <w:pStyle w:val="Styl11"/>
        <w:numPr>
          <w:ilvl w:val="1"/>
          <w:numId w:val="1"/>
        </w:numPr>
        <w:ind w:left="709" w:hanging="709"/>
      </w:pPr>
      <w:r w:rsidRPr="005C6655">
        <w:t xml:space="preserve">Má-li být předmět zakázky plněn několika dodavateli společně a za tímto účelem podají společnou nabídku, je každý z dodavatelů povinen prokázat splnění </w:t>
      </w:r>
      <w:r>
        <w:t>základní způsobilosti a profesní způsobilosti dle § 77 odst. 1 ZZVZ (tj. předložení výpisu z obchodního rejstříku či obdobné evidence)</w:t>
      </w:r>
      <w:r w:rsidRPr="005C6655">
        <w:t xml:space="preserve"> </w:t>
      </w:r>
      <w:r>
        <w:t>každý z dodavatelů samostatně</w:t>
      </w:r>
      <w:r w:rsidRPr="005C6655">
        <w:t>.</w:t>
      </w:r>
      <w:r>
        <w:t xml:space="preserve"> Splnění další požadované kvalifikace prokazují dodavatelé společně</w:t>
      </w:r>
      <w:r w:rsidRPr="005C6655">
        <w:t>.</w:t>
      </w:r>
    </w:p>
    <w:p w14:paraId="3E5AA6E7" w14:textId="77777777" w:rsidR="00FD3F1E" w:rsidRPr="005C6655" w:rsidRDefault="00FD3F1E" w:rsidP="00FD3F1E">
      <w:pPr>
        <w:pStyle w:val="Styl11"/>
        <w:numPr>
          <w:ilvl w:val="1"/>
          <w:numId w:val="1"/>
        </w:numPr>
        <w:ind w:left="709" w:hanging="709"/>
      </w:pPr>
      <w:r>
        <w:t>Dodavatelé podávající společnou nabídku</w:t>
      </w:r>
      <w:r w:rsidRPr="005C6655">
        <w:t xml:space="preserve"> jsou </w:t>
      </w:r>
      <w:r>
        <w:t xml:space="preserve">dále povinni předložit </w:t>
      </w:r>
      <w:r w:rsidRPr="005C6655">
        <w:t>zadavateli současně s</w:t>
      </w:r>
      <w:r>
        <w:t> </w:t>
      </w:r>
      <w:r w:rsidRPr="005C6655">
        <w:t xml:space="preserve">doklady prokazujícími splnění </w:t>
      </w:r>
      <w:r>
        <w:t>kvalifikaci</w:t>
      </w:r>
      <w:r w:rsidRPr="005C6655">
        <w:t xml:space="preserve"> </w:t>
      </w:r>
      <w:r>
        <w:t>závazek dodavatelů, že odpovědnost za plnění zakázky ponesou všichni dodavatelé společně a nerozdílně.</w:t>
      </w:r>
    </w:p>
    <w:p w14:paraId="36C1C41C" w14:textId="77777777" w:rsidR="00FD3F1E" w:rsidRPr="00D822E1" w:rsidRDefault="00FD3F1E" w:rsidP="00FD3F1E">
      <w:pPr>
        <w:pStyle w:val="podnadpis"/>
      </w:pPr>
      <w:bookmarkStart w:id="13" w:name="_Toc430959267"/>
      <w:r w:rsidRPr="00D822E1">
        <w:t>Kvalifikace v případě zahraničních osob</w:t>
      </w:r>
    </w:p>
    <w:p w14:paraId="428D37FE" w14:textId="77777777" w:rsidR="00FD3F1E" w:rsidRPr="00BF5915" w:rsidRDefault="00FD3F1E" w:rsidP="00FD3F1E">
      <w:pPr>
        <w:pStyle w:val="Styl11"/>
        <w:numPr>
          <w:ilvl w:val="1"/>
          <w:numId w:val="1"/>
        </w:numPr>
        <w:ind w:left="709" w:hanging="709"/>
      </w:pPr>
      <w:r>
        <w:t>Zahraniční d</w:t>
      </w:r>
      <w:r w:rsidRPr="00BF5915">
        <w:t xml:space="preserve">odavatelé v souladu s § 81 ZZVZ prokazují kvalifikaci získanou v zahraničí doklady vydanými podle právního řádu země, ve které byla kvalifikace </w:t>
      </w:r>
      <w:r>
        <w:t>získána, a to v rozsahu, který z</w:t>
      </w:r>
      <w:r w:rsidRPr="00BF5915">
        <w:t>adavatel požaduje.</w:t>
      </w:r>
    </w:p>
    <w:p w14:paraId="23837F04" w14:textId="36D2B09A" w:rsidR="00FD3F1E" w:rsidRPr="00D822E1" w:rsidRDefault="00FD3F1E" w:rsidP="00FD3F1E">
      <w:pPr>
        <w:pStyle w:val="podnadpis"/>
      </w:pPr>
      <w:bookmarkStart w:id="14" w:name="_Toc430959268"/>
      <w:bookmarkEnd w:id="13"/>
      <w:r w:rsidRPr="00D822E1">
        <w:t>Výpis ze seznamu kvalifikovaných dodavatelů</w:t>
      </w:r>
      <w:bookmarkEnd w:id="14"/>
    </w:p>
    <w:p w14:paraId="06AC8C2E" w14:textId="77777777" w:rsidR="00FD3F1E" w:rsidRPr="005C6655" w:rsidRDefault="00FD3F1E" w:rsidP="00FD3F1E">
      <w:pPr>
        <w:pStyle w:val="Styl11"/>
        <w:numPr>
          <w:ilvl w:val="1"/>
          <w:numId w:val="1"/>
        </w:numPr>
        <w:ind w:left="709" w:hanging="709"/>
      </w:pPr>
      <w:r w:rsidRPr="005C6655">
        <w:t xml:space="preserve">Předloží-li </w:t>
      </w:r>
      <w:r w:rsidRPr="009F7B4B">
        <w:t>dodavatel</w:t>
      </w:r>
      <w:r w:rsidRPr="005C6655">
        <w:t xml:space="preserve"> zadavateli výpis ze seznamu kval</w:t>
      </w:r>
      <w:r>
        <w:t>ifikovaných dodavatelů dle § 228 ZZVZ</w:t>
      </w:r>
      <w:r w:rsidRPr="005C6655">
        <w:t xml:space="preserve">, nahrazuje tento výpis </w:t>
      </w:r>
      <w:r>
        <w:t>doklad prokazující</w:t>
      </w:r>
    </w:p>
    <w:p w14:paraId="248A7E61" w14:textId="77777777" w:rsidR="00FD3F1E" w:rsidRPr="005C6655" w:rsidRDefault="00FD3F1E" w:rsidP="00FD3F1E">
      <w:pPr>
        <w:pStyle w:val="Psmena"/>
        <w:numPr>
          <w:ilvl w:val="0"/>
          <w:numId w:val="0"/>
        </w:numPr>
        <w:ind w:left="993" w:hanging="284"/>
        <w:rPr>
          <w:rStyle w:val="Zdraznnjemn"/>
        </w:rPr>
      </w:pPr>
      <w:r>
        <w:rPr>
          <w:rStyle w:val="Zdraznnjemn"/>
        </w:rPr>
        <w:t>a)</w:t>
      </w:r>
      <w:r>
        <w:rPr>
          <w:rStyle w:val="Zdraznnjemn"/>
        </w:rPr>
        <w:tab/>
        <w:t>základní</w:t>
      </w:r>
      <w:r w:rsidRPr="005C6655">
        <w:rPr>
          <w:rStyle w:val="Zdraznnjemn"/>
        </w:rPr>
        <w:t xml:space="preserve"> </w:t>
      </w:r>
      <w:r>
        <w:rPr>
          <w:rStyle w:val="Zdraznnjemn"/>
        </w:rPr>
        <w:t>způsobilost podle § 74 ZZVZ,</w:t>
      </w:r>
      <w:r w:rsidRPr="005C6655">
        <w:rPr>
          <w:rStyle w:val="Zdraznnjemn"/>
        </w:rPr>
        <w:t xml:space="preserve"> a</w:t>
      </w:r>
    </w:p>
    <w:p w14:paraId="701F1585" w14:textId="77777777" w:rsidR="00FD3F1E" w:rsidRPr="005C6655" w:rsidRDefault="00FD3F1E" w:rsidP="00FD3F1E">
      <w:pPr>
        <w:pStyle w:val="Seznam-psmena"/>
        <w:numPr>
          <w:ilvl w:val="0"/>
          <w:numId w:val="0"/>
        </w:numPr>
        <w:ind w:left="993" w:hanging="284"/>
      </w:pPr>
      <w:r>
        <w:rPr>
          <w:rStyle w:val="Zdraznnjemn"/>
        </w:rPr>
        <w:t>b)</w:t>
      </w:r>
      <w:r>
        <w:rPr>
          <w:rStyle w:val="Zdraznnjemn"/>
        </w:rPr>
        <w:tab/>
        <w:t>profesní</w:t>
      </w:r>
      <w:r w:rsidRPr="005C6655">
        <w:rPr>
          <w:rStyle w:val="Zdraznnjemn"/>
        </w:rPr>
        <w:t xml:space="preserve"> </w:t>
      </w:r>
      <w:r>
        <w:rPr>
          <w:rStyle w:val="Zdraznnjemn"/>
        </w:rPr>
        <w:t>způsobilost podle § 77 ZZVZ v tom rozsahu, v jakém údaje ve výpisu ze seznamu kvalifikovaných dodavatelů prokazují splnění kritérií profesní způsobilosti</w:t>
      </w:r>
      <w:r w:rsidRPr="005C6655">
        <w:t>.</w:t>
      </w:r>
    </w:p>
    <w:p w14:paraId="738977B0" w14:textId="77777777" w:rsidR="00FD3F1E" w:rsidRPr="005C6655" w:rsidRDefault="00FD3F1E" w:rsidP="00FD3F1E">
      <w:pPr>
        <w:pStyle w:val="Styl11"/>
        <w:numPr>
          <w:ilvl w:val="1"/>
          <w:numId w:val="1"/>
        </w:numPr>
        <w:ind w:left="709" w:hanging="709"/>
      </w:pPr>
      <w:r w:rsidRPr="005C6655">
        <w:t xml:space="preserve">Výpis ze seznamu kvalifikovaných dodavatelů nesmí být k poslednímu dni, ke kterému má být </w:t>
      </w:r>
      <w:r>
        <w:t>prokázána základní způsobilost nebo profesní způsobilost</w:t>
      </w:r>
      <w:r w:rsidRPr="005C6655">
        <w:t>, starší než 3 měsíce.</w:t>
      </w:r>
    </w:p>
    <w:p w14:paraId="7BC19C2F" w14:textId="77777777" w:rsidR="00FD3F1E" w:rsidRPr="00D822E1" w:rsidRDefault="00FD3F1E" w:rsidP="00FD3F1E">
      <w:pPr>
        <w:pStyle w:val="podnadpis"/>
      </w:pPr>
      <w:bookmarkStart w:id="15" w:name="_Toc430959269"/>
      <w:r w:rsidRPr="00D822E1">
        <w:lastRenderedPageBreak/>
        <w:t>Certifikát</w:t>
      </w:r>
      <w:bookmarkEnd w:id="15"/>
    </w:p>
    <w:p w14:paraId="4D91C404" w14:textId="77777777" w:rsidR="00FD3F1E" w:rsidRPr="005C6655" w:rsidRDefault="00FD3F1E" w:rsidP="00FD3F1E">
      <w:pPr>
        <w:pStyle w:val="Styl11"/>
        <w:numPr>
          <w:ilvl w:val="1"/>
          <w:numId w:val="1"/>
        </w:numPr>
        <w:ind w:left="709" w:hanging="709"/>
      </w:pPr>
      <w:r w:rsidRPr="005C6655">
        <w:t xml:space="preserve">Předloží-li dodavatel zadavateli certifikát vydaný v rámci </w:t>
      </w:r>
      <w:r>
        <w:t xml:space="preserve">schváleného </w:t>
      </w:r>
      <w:r w:rsidRPr="005C6655">
        <w:t>systému certifikovaných dodavatelů</w:t>
      </w:r>
      <w:r>
        <w:t xml:space="preserve"> dle ustanovení § 233 a násl. ZZVZ</w:t>
      </w:r>
      <w:r w:rsidRPr="005C6655">
        <w:t xml:space="preserve">, </w:t>
      </w:r>
      <w:r>
        <w:t>lze prostřednictvím tohoto certifikátu prokázat kvalifikaci v zadávacím řízení, přičemž se má za to, že dodavatel je kvalifikovaný v rozsahu uvedeném na certifikátu.</w:t>
      </w:r>
    </w:p>
    <w:p w14:paraId="6C199A8D" w14:textId="77777777" w:rsidR="00FD3F1E" w:rsidRPr="005C6655" w:rsidRDefault="00FD3F1E" w:rsidP="00FD3F1E">
      <w:pPr>
        <w:pStyle w:val="Styl11"/>
        <w:numPr>
          <w:ilvl w:val="1"/>
          <w:numId w:val="1"/>
        </w:numPr>
        <w:ind w:left="709" w:hanging="709"/>
      </w:pPr>
      <w:r>
        <w:t xml:space="preserve">Nejdelší přípustná platnost certifikátu je jeden </w:t>
      </w:r>
      <w:r w:rsidRPr="005C6655">
        <w:t>rok ode dne jeho vydání.</w:t>
      </w:r>
    </w:p>
    <w:p w14:paraId="56ADECF0" w14:textId="77777777" w:rsidR="00EC291C" w:rsidRPr="000F56C5" w:rsidRDefault="00EC291C" w:rsidP="00EC291C">
      <w:pPr>
        <w:pStyle w:val="Nadpis1"/>
      </w:pPr>
      <w:bookmarkStart w:id="16" w:name="_Toc430959272"/>
      <w:r w:rsidRPr="000F56C5">
        <w:t>Požadavky na způsob zpracování nabídkové ceny</w:t>
      </w:r>
      <w:bookmarkEnd w:id="16"/>
    </w:p>
    <w:p w14:paraId="31F4F77C" w14:textId="3A97C150" w:rsidR="0017114F" w:rsidRPr="000F56C5" w:rsidRDefault="0017114F" w:rsidP="0017114F">
      <w:pPr>
        <w:pStyle w:val="Styl1"/>
        <w:ind w:left="709" w:hanging="709"/>
      </w:pPr>
      <w:bookmarkStart w:id="17" w:name="_Toc283898780"/>
      <w:bookmarkStart w:id="18" w:name="_Toc283905826"/>
      <w:bookmarkStart w:id="19" w:name="_Toc284422201"/>
      <w:bookmarkStart w:id="20" w:name="_Toc284435590"/>
      <w:r w:rsidRPr="000F56C5">
        <w:t xml:space="preserve">Dodavatel stanoví celkovou nabídkovou cenu za plnění veřejné zakázky tak, že do </w:t>
      </w:r>
      <w:r w:rsidRPr="000F56C5">
        <w:rPr>
          <w:b/>
          <w:bCs/>
        </w:rPr>
        <w:t>Technické specifikace, která je zároveň cenovou tabulkou a tvoří Přílohu č. 2 této zadávací dokumentace, doplní nabídkové ceny všech dílčích plnění</w:t>
      </w:r>
      <w:r w:rsidRPr="000F56C5">
        <w:t>. Účastník uvede všechny částky v Kč bez DPH zaokrouhlené na dvě desetinná místa.</w:t>
      </w:r>
    </w:p>
    <w:p w14:paraId="1DC71475" w14:textId="77777777" w:rsidR="0017114F" w:rsidRPr="000F2055" w:rsidRDefault="0017114F" w:rsidP="0017114F">
      <w:pPr>
        <w:pStyle w:val="Styl1"/>
        <w:ind w:left="709" w:hanging="709"/>
      </w:pPr>
      <w:r w:rsidRPr="00825E0A">
        <w:t xml:space="preserve">Zadavatel pro vyloučení </w:t>
      </w:r>
      <w:r>
        <w:t>pochybností</w:t>
      </w:r>
      <w:r w:rsidRPr="00825E0A">
        <w:t xml:space="preserve"> uvádí, že pro účely hodnocení bude nabídková cena kalkulována </w:t>
      </w:r>
      <w:r w:rsidRPr="00537059">
        <w:t>dle předpokládaného množství odebraného v průběhu účinnosti Rámcové dohody uvedeného v</w:t>
      </w:r>
      <w:r>
        <w:t> technické specifikaci jako „modelový počet kusů“</w:t>
      </w:r>
      <w:r w:rsidRPr="00825E0A">
        <w:t>.</w:t>
      </w:r>
      <w:r>
        <w:t xml:space="preserve"> </w:t>
      </w:r>
    </w:p>
    <w:p w14:paraId="7968A01F" w14:textId="6E69CF01" w:rsidR="0017114F" w:rsidRPr="0017114F" w:rsidRDefault="0017114F" w:rsidP="0017114F">
      <w:pPr>
        <w:pStyle w:val="Styl1"/>
        <w:ind w:left="709" w:hanging="709"/>
        <w:rPr>
          <w:b/>
        </w:rPr>
      </w:pPr>
      <w:r w:rsidRPr="0017114F">
        <w:rPr>
          <w:b/>
        </w:rPr>
        <w:t xml:space="preserve">Celková nabídková cena nesmí být vyšší než předpokládaná hodnota veřejné zakázky uvedená v čl. </w:t>
      </w:r>
      <w:r w:rsidR="00621C05">
        <w:rPr>
          <w:b/>
        </w:rPr>
        <w:t xml:space="preserve">3 </w:t>
      </w:r>
      <w:r w:rsidRPr="0017114F">
        <w:rPr>
          <w:b/>
        </w:rPr>
        <w:t>této zadávací dokumentace. Nesplnění této zadávací podmínky je důvodem k vyloučení z účasti v zadávacím řízení.</w:t>
      </w:r>
    </w:p>
    <w:p w14:paraId="3DD3BA60" w14:textId="47380049" w:rsidR="0017114F" w:rsidRDefault="0017114F" w:rsidP="0017114F">
      <w:pPr>
        <w:pStyle w:val="Styl1"/>
        <w:ind w:left="709" w:hanging="709"/>
      </w:pPr>
      <w:r w:rsidRPr="007C35FA">
        <w:t xml:space="preserve">Nabídková cena </w:t>
      </w:r>
      <w:r w:rsidR="001D6EE1">
        <w:t xml:space="preserve">v podobě jednotkových nabídkových cen </w:t>
      </w:r>
      <w:r w:rsidRPr="007C35FA">
        <w:t xml:space="preserve">musí být stanovena jako nejvýše přípustná, kterou není možné překročit nebo změnit, pokud to výslovně neupravuje tato zadávací dokumentace či </w:t>
      </w:r>
      <w:r>
        <w:t>Rámcová dohoda</w:t>
      </w:r>
      <w:r w:rsidRPr="007C35FA">
        <w:t>.</w:t>
      </w:r>
    </w:p>
    <w:p w14:paraId="78E3988D" w14:textId="7EBC75C9" w:rsidR="0017114F" w:rsidRPr="0017114F" w:rsidRDefault="0017114F" w:rsidP="0017114F">
      <w:pPr>
        <w:pStyle w:val="Styl1"/>
        <w:ind w:left="709" w:hanging="709"/>
      </w:pPr>
      <w:r w:rsidRPr="007C35FA">
        <w:t xml:space="preserve">Nabídková cena musí obsahovat veškeré náklady </w:t>
      </w:r>
      <w:r>
        <w:t>dodavatele</w:t>
      </w:r>
      <w:r w:rsidRPr="007C35FA">
        <w:t xml:space="preserve"> nezbytné k</w:t>
      </w:r>
      <w:r>
        <w:t> </w:t>
      </w:r>
      <w:r w:rsidRPr="007C35FA">
        <w:t>realizaci předmětu veřejné zakázky včetně všech souvisejících nákladů. Nabídková cena obsahuje předpokládaný vývoj cen v</w:t>
      </w:r>
      <w:r>
        <w:t> </w:t>
      </w:r>
      <w:r w:rsidRPr="007C35FA">
        <w:t>dané oblasti až do konce její platnosti, včetně zvyšování minimální mzdy, rovněž obsahuje i předpokládaný vývoj kurzů české koruny k</w:t>
      </w:r>
      <w:r>
        <w:t> </w:t>
      </w:r>
      <w:r w:rsidRPr="007C35FA">
        <w:t>zahraničním měnám až do konce její platnosti.</w:t>
      </w:r>
      <w:bookmarkEnd w:id="17"/>
      <w:bookmarkEnd w:id="18"/>
      <w:bookmarkEnd w:id="19"/>
      <w:bookmarkEnd w:id="20"/>
    </w:p>
    <w:p w14:paraId="43649FFC" w14:textId="77777777" w:rsidR="00EC291C" w:rsidRPr="009D4468" w:rsidRDefault="00EC291C" w:rsidP="00EC291C">
      <w:pPr>
        <w:pStyle w:val="podnadpis"/>
      </w:pPr>
      <w:r w:rsidRPr="009D4468">
        <w:t>Posouzení mimořádně nízké nabídkové ceny</w:t>
      </w:r>
    </w:p>
    <w:p w14:paraId="065A6868" w14:textId="77777777" w:rsidR="00EC291C" w:rsidRPr="009D4468" w:rsidRDefault="00EC291C" w:rsidP="00EC291C">
      <w:pPr>
        <w:pStyle w:val="Styl11"/>
        <w:numPr>
          <w:ilvl w:val="1"/>
          <w:numId w:val="1"/>
        </w:numPr>
        <w:ind w:left="709" w:hanging="709"/>
      </w:pPr>
      <w:r w:rsidRPr="009D4468">
        <w:t>Zadavatel je oprávněn provést posouzení mimořádně nízké nabídkové ceny. Zadavatel bude při posuzování postupovat dle ustanovení § 113 ZZVZ.</w:t>
      </w:r>
    </w:p>
    <w:p w14:paraId="6217C5A5" w14:textId="3653662F" w:rsidR="00A3138F" w:rsidRPr="009D4468" w:rsidRDefault="00A3138F" w:rsidP="00A3138F">
      <w:pPr>
        <w:pStyle w:val="Nadpis1"/>
      </w:pPr>
      <w:bookmarkStart w:id="21" w:name="_Toc430959273"/>
      <w:bookmarkStart w:id="22" w:name="_Toc84330707"/>
      <w:bookmarkStart w:id="23" w:name="_Toc125393855"/>
      <w:r w:rsidRPr="009D4468">
        <w:t>Způsob hodnocení nabídek dle hodnoticích kritérií</w:t>
      </w:r>
      <w:bookmarkEnd w:id="21"/>
      <w:bookmarkEnd w:id="22"/>
      <w:bookmarkEnd w:id="23"/>
    </w:p>
    <w:p w14:paraId="45063C75" w14:textId="77777777" w:rsidR="00A3138F" w:rsidRPr="005C537D" w:rsidRDefault="00A3138F" w:rsidP="00A3138F">
      <w:pPr>
        <w:pStyle w:val="Styl1"/>
        <w:ind w:left="709" w:hanging="709"/>
        <w:rPr>
          <w:szCs w:val="22"/>
        </w:rPr>
      </w:pPr>
      <w:r w:rsidRPr="009D4468">
        <w:t xml:space="preserve">Kritériem hodnocení je </w:t>
      </w:r>
      <w:r w:rsidRPr="009D4468">
        <w:rPr>
          <w:b/>
        </w:rPr>
        <w:t>ekonomická výhodnost nabídky</w:t>
      </w:r>
      <w:r w:rsidRPr="009D4468">
        <w:t xml:space="preserve">. Ekonomická výhodnost bude hodnocena podle </w:t>
      </w:r>
      <w:r w:rsidRPr="009D4468">
        <w:rPr>
          <w:b/>
          <w:bCs/>
        </w:rPr>
        <w:t>nejnižší</w:t>
      </w:r>
      <w:r w:rsidRPr="009D4468">
        <w:t xml:space="preserve"> </w:t>
      </w:r>
      <w:r w:rsidRPr="009D4468">
        <w:rPr>
          <w:b/>
          <w:bCs/>
        </w:rPr>
        <w:t>nabídkové ceny.</w:t>
      </w:r>
    </w:p>
    <w:p w14:paraId="3D10C884" w14:textId="65D16B5D" w:rsidR="005C537D" w:rsidRPr="005C537D" w:rsidRDefault="005C537D" w:rsidP="005C537D">
      <w:pPr>
        <w:pStyle w:val="Styl1"/>
        <w:ind w:left="709" w:hanging="709"/>
      </w:pPr>
      <w:r w:rsidRPr="005C537D">
        <w:t>Předmětem hodnocení bude celková nabídková cena v Kč bez DPH stanovená dle čl. 6 této zadávací dokumentace.</w:t>
      </w:r>
    </w:p>
    <w:p w14:paraId="463A4D90" w14:textId="77777777" w:rsidR="005C5166" w:rsidRDefault="005C5166" w:rsidP="005C5166">
      <w:pPr>
        <w:pStyle w:val="Styl1"/>
        <w:ind w:left="709" w:hanging="709"/>
      </w:pPr>
      <w:r w:rsidRPr="00AE76EF">
        <w:t xml:space="preserve">Zadavatel stanoví pořadí nabídek podle výše </w:t>
      </w:r>
      <w:r>
        <w:t xml:space="preserve">celkové </w:t>
      </w:r>
      <w:r w:rsidRPr="00AE76EF">
        <w:t xml:space="preserve">nabídkové ceny v Kč od nejnižší (1. v pořadí) po nejvyšší. Za nejvýhodnější nabídku bude považována nabídka s nejnižší </w:t>
      </w:r>
      <w:r>
        <w:t xml:space="preserve">celkovou </w:t>
      </w:r>
      <w:r w:rsidRPr="00AE76EF">
        <w:t>nabídkovou cenou v</w:t>
      </w:r>
      <w:r>
        <w:t> </w:t>
      </w:r>
      <w:r w:rsidRPr="00AE76EF">
        <w:t>Kč</w:t>
      </w:r>
      <w:r>
        <w:t xml:space="preserve"> bez DPH</w:t>
      </w:r>
      <w:r w:rsidRPr="00AE76EF">
        <w:t xml:space="preserve">. </w:t>
      </w:r>
    </w:p>
    <w:p w14:paraId="349B11B6" w14:textId="3632E612" w:rsidR="009B260B" w:rsidRPr="005C537D" w:rsidRDefault="009B260B" w:rsidP="005C537D">
      <w:pPr>
        <w:pStyle w:val="Styl11"/>
        <w:numPr>
          <w:ilvl w:val="1"/>
          <w:numId w:val="1"/>
        </w:numPr>
        <w:ind w:left="709" w:hanging="709"/>
        <w:rPr>
          <w:szCs w:val="22"/>
        </w:rPr>
      </w:pPr>
      <w:r w:rsidRPr="005C537D">
        <w:rPr>
          <w:szCs w:val="22"/>
        </w:rPr>
        <w:lastRenderedPageBreak/>
        <w:t xml:space="preserve">Rámcová dohoda bude uzavřena s dodavateli, jejichž nabídky se na základě provedeného hodnocení umístí na </w:t>
      </w:r>
      <w:r w:rsidRPr="005C537D">
        <w:rPr>
          <w:b/>
          <w:bCs/>
          <w:szCs w:val="22"/>
        </w:rPr>
        <w:t>prvních třech místech</w:t>
      </w:r>
      <w:r w:rsidRPr="005C537D">
        <w:rPr>
          <w:szCs w:val="22"/>
        </w:rPr>
        <w:t>.</w:t>
      </w:r>
    </w:p>
    <w:p w14:paraId="2891ECB2" w14:textId="77777777" w:rsidR="00612B84" w:rsidRPr="009D4468" w:rsidRDefault="00612B84" w:rsidP="00612B84">
      <w:pPr>
        <w:pStyle w:val="Nadpis1"/>
      </w:pPr>
      <w:bookmarkStart w:id="24" w:name="_Toc473669618"/>
      <w:r w:rsidRPr="009D4468">
        <w:t>Obchodní podmínky</w:t>
      </w:r>
      <w:bookmarkEnd w:id="24"/>
    </w:p>
    <w:p w14:paraId="03E22A11" w14:textId="77777777" w:rsidR="00C310A5" w:rsidRPr="000F56C5" w:rsidRDefault="00C310A5" w:rsidP="00C310A5">
      <w:pPr>
        <w:pStyle w:val="Styl11"/>
        <w:numPr>
          <w:ilvl w:val="1"/>
          <w:numId w:val="1"/>
        </w:numPr>
        <w:ind w:left="709" w:hanging="709"/>
      </w:pPr>
      <w:r w:rsidRPr="00C310A5">
        <w:t>Zadavatel stanovil obchodní a platební podmínky pro realizaci veřejné zakázky formou návrhu Rámcové dohody. Návr</w:t>
      </w:r>
      <w:r w:rsidRPr="000F56C5">
        <w:t>h Rámcové dohody je Přílohou č. 1 této zadávací dokumentace.</w:t>
      </w:r>
    </w:p>
    <w:p w14:paraId="4C439F32" w14:textId="77777777" w:rsidR="00C6552F" w:rsidRPr="000F56C5" w:rsidRDefault="00C6552F" w:rsidP="00C6552F">
      <w:pPr>
        <w:pStyle w:val="Styl11"/>
        <w:numPr>
          <w:ilvl w:val="1"/>
          <w:numId w:val="1"/>
        </w:numPr>
        <w:ind w:left="709" w:hanging="709"/>
      </w:pPr>
      <w:bookmarkStart w:id="25" w:name="_Toc430959274"/>
      <w:r w:rsidRPr="000F56C5">
        <w:t xml:space="preserve">Dodavatel doplní v textu návrhu Rámcové dohody údaje, které jsou určeny k doplnění, aniž by změnil či jinak přepsal závazné části Rámcové dohody. Doplněný návrh Rámcové dohody podepsaný osobou oprávněnou jednat za dodavatele bude součástí nabídky dodavatele. </w:t>
      </w:r>
    </w:p>
    <w:p w14:paraId="6D91383C" w14:textId="77777777" w:rsidR="003E49F0" w:rsidRPr="000F56C5" w:rsidRDefault="003E49F0" w:rsidP="003E49F0">
      <w:pPr>
        <w:pStyle w:val="Nadpis1"/>
      </w:pPr>
      <w:r w:rsidRPr="000F56C5">
        <w:t>Podmínky a požadavky na zpracování a podání nabídky</w:t>
      </w:r>
      <w:bookmarkEnd w:id="25"/>
    </w:p>
    <w:p w14:paraId="15C0C8BB" w14:textId="77777777" w:rsidR="00F36D79" w:rsidRPr="000F56C5" w:rsidRDefault="00F36D79" w:rsidP="00F36D79">
      <w:pPr>
        <w:pStyle w:val="Styl1"/>
        <w:ind w:left="709" w:hanging="709"/>
      </w:pPr>
      <w:r w:rsidRPr="000F56C5">
        <w:t>Dodavatel předloží nabídku písemně v elektronické podobě v českém nebo anglickém jazyce.</w:t>
      </w:r>
    </w:p>
    <w:p w14:paraId="1FE17305" w14:textId="77777777" w:rsidR="00F36D79" w:rsidRPr="000F56C5" w:rsidRDefault="00F36D79" w:rsidP="00F36D79">
      <w:pPr>
        <w:pStyle w:val="Styl1"/>
        <w:ind w:left="709" w:hanging="709"/>
      </w:pPr>
      <w:r w:rsidRPr="000F56C5">
        <w:t>Zadavatel požaduje, aby nabídka dodavatele obsahovala všechny níže specifikované doklady:</w:t>
      </w:r>
    </w:p>
    <w:p w14:paraId="27064C6D" w14:textId="77777777" w:rsidR="00F36D79" w:rsidRPr="000F56C5" w:rsidRDefault="00F36D79" w:rsidP="00AD5DB8">
      <w:pPr>
        <w:pStyle w:val="Odrkanesl"/>
        <w:numPr>
          <w:ilvl w:val="4"/>
          <w:numId w:val="38"/>
        </w:numPr>
        <w:ind w:left="1276" w:hanging="425"/>
      </w:pPr>
      <w:r w:rsidRPr="000F56C5">
        <w:rPr>
          <w:b/>
          <w:bCs/>
        </w:rPr>
        <w:t>krycí list nabídky</w:t>
      </w:r>
      <w:r w:rsidRPr="000F56C5">
        <w:t xml:space="preserve"> (Příloha č. 3 této zadávací dokumentace);</w:t>
      </w:r>
    </w:p>
    <w:p w14:paraId="37AEC19F" w14:textId="47C1518C" w:rsidR="00F36D79" w:rsidRPr="000F56C5" w:rsidRDefault="00F36D79" w:rsidP="00AD5DB8">
      <w:pPr>
        <w:pStyle w:val="Odrkanesl"/>
        <w:numPr>
          <w:ilvl w:val="4"/>
          <w:numId w:val="38"/>
        </w:numPr>
        <w:ind w:left="1276" w:hanging="425"/>
      </w:pPr>
      <w:r w:rsidRPr="000F56C5">
        <w:rPr>
          <w:b/>
          <w:bCs/>
        </w:rPr>
        <w:t>doklady k prokázání kvalifikace</w:t>
      </w:r>
      <w:r w:rsidRPr="000F56C5">
        <w:t xml:space="preserve"> v souladu s čl. </w:t>
      </w:r>
      <w:r w:rsidR="00621C05">
        <w:t>5</w:t>
      </w:r>
      <w:r w:rsidR="00E469F9">
        <w:t>.</w:t>
      </w:r>
      <w:r w:rsidRPr="000F56C5">
        <w:t xml:space="preserve"> této zadávací dokumentace;</w:t>
      </w:r>
    </w:p>
    <w:p w14:paraId="4646CA4D" w14:textId="77777777" w:rsidR="00F36D79" w:rsidRPr="000F56C5" w:rsidRDefault="00F36D79" w:rsidP="00AD5DB8">
      <w:pPr>
        <w:pStyle w:val="Odrkanesl"/>
        <w:numPr>
          <w:ilvl w:val="4"/>
          <w:numId w:val="38"/>
        </w:numPr>
        <w:ind w:left="1276" w:hanging="425"/>
      </w:pPr>
      <w:r w:rsidRPr="000F56C5">
        <w:rPr>
          <w:b/>
          <w:bCs/>
        </w:rPr>
        <w:t>návrh Rámcové dohody</w:t>
      </w:r>
      <w:r w:rsidRPr="000F56C5">
        <w:t xml:space="preserve"> doplněný o požadované údaje a podepsaný osobou oprávněnou jednat za dodavatele (Příloha č. 1 této zadávací dokumentace), včetně případného dokladu o oprávnění takové osoby, pokud takové oprávnění nevyplývá z obchodního rejstříku;</w:t>
      </w:r>
    </w:p>
    <w:p w14:paraId="24CBC823" w14:textId="7BA194A2" w:rsidR="00F36D79" w:rsidRPr="000F56C5" w:rsidRDefault="00F36D79" w:rsidP="00AD5DB8">
      <w:pPr>
        <w:pStyle w:val="Odrkanesl"/>
        <w:numPr>
          <w:ilvl w:val="4"/>
          <w:numId w:val="38"/>
        </w:numPr>
        <w:ind w:left="1276" w:hanging="425"/>
      </w:pPr>
      <w:r w:rsidRPr="000F56C5">
        <w:rPr>
          <w:b/>
          <w:bCs/>
        </w:rPr>
        <w:t xml:space="preserve">technická specifikace </w:t>
      </w:r>
      <w:r w:rsidRPr="000F56C5">
        <w:t>vyplněná v souladu s čl.</w:t>
      </w:r>
      <w:r w:rsidR="00621C05">
        <w:t xml:space="preserve"> 6</w:t>
      </w:r>
      <w:r w:rsidR="00E469F9">
        <w:t>.</w:t>
      </w:r>
      <w:r w:rsidRPr="000F56C5">
        <w:t xml:space="preserve"> této zadávací dokumentace (</w:t>
      </w:r>
      <w:r w:rsidRPr="000F56C5">
        <w:rPr>
          <w:i/>
          <w:iCs/>
        </w:rPr>
        <w:t>Příloha č. 2</w:t>
      </w:r>
      <w:r w:rsidRPr="000F56C5">
        <w:t xml:space="preserve"> této zadávací dokumentace);</w:t>
      </w:r>
    </w:p>
    <w:p w14:paraId="38C9AA3A" w14:textId="77777777" w:rsidR="00F36D79" w:rsidRPr="000F56C5" w:rsidRDefault="00F36D79" w:rsidP="00AD5DB8">
      <w:pPr>
        <w:pStyle w:val="Odrkanesl"/>
        <w:numPr>
          <w:ilvl w:val="4"/>
          <w:numId w:val="38"/>
        </w:numPr>
        <w:ind w:left="1276" w:hanging="425"/>
      </w:pPr>
      <w:r w:rsidRPr="000F56C5">
        <w:t>případné další dokumenty.</w:t>
      </w:r>
    </w:p>
    <w:p w14:paraId="2B943FCC" w14:textId="77777777" w:rsidR="00F36D79" w:rsidRPr="00AE76EF" w:rsidRDefault="00F36D79" w:rsidP="00F36D79">
      <w:pPr>
        <w:pStyle w:val="Styl1"/>
        <w:ind w:left="709" w:hanging="709"/>
      </w:pPr>
      <w:r w:rsidRPr="000F56C5">
        <w:t xml:space="preserve">Dodavatel ve své nabídce uvede kontaktní osobu ve věci veřejné zakázky, a to včetně kontaktní adresy, telefonu a e-mailové adresy. Tato kontaktní osoba bude uvedena v </w:t>
      </w:r>
      <w:r w:rsidRPr="000F56C5">
        <w:rPr>
          <w:b/>
          <w:bCs/>
        </w:rPr>
        <w:t>krycím listu nabídky</w:t>
      </w:r>
      <w:r w:rsidRPr="000F56C5">
        <w:t xml:space="preserve"> dle závazného vzoru, který je součástí Přílohy č. 3 této zadávací</w:t>
      </w:r>
      <w:r w:rsidRPr="00636C4D">
        <w:t xml:space="preserve"> dokumentace. Na e-mail této</w:t>
      </w:r>
      <w:r w:rsidRPr="00C57960">
        <w:t> </w:t>
      </w:r>
      <w:r w:rsidRPr="00213C5D">
        <w:t>kontaktní osoby ve věci veřejné zakázky mohou být doručovány zejména výzvy k doplnění nebo objasně</w:t>
      </w:r>
      <w:r w:rsidRPr="00636C4D">
        <w:t>ní nabídky, žádost o zdůvodnění mimořádně nízké nabídkové ceny, oznámení</w:t>
      </w:r>
      <w:r>
        <w:t xml:space="preserve"> o vyloučení účastníka zadávacího řízení a další dokumenty a informace související se zadávacím řízením.</w:t>
      </w:r>
    </w:p>
    <w:p w14:paraId="71604EF2" w14:textId="77777777" w:rsidR="00F36D79" w:rsidRDefault="00F36D79" w:rsidP="00F36D79">
      <w:pPr>
        <w:pStyle w:val="Styl1"/>
        <w:ind w:left="709" w:hanging="709"/>
      </w:pPr>
      <w:r w:rsidRPr="001469A8">
        <w:t>V případě společné účasti dodavatelů v zadávacím řízení bude v nabídce doloženo, že všichni dodavatelé podávající společnou nabídku ponesou odpovědnost za plnění veřejné zakázky společně a nerozdílně.</w:t>
      </w:r>
    </w:p>
    <w:p w14:paraId="16C191F4" w14:textId="77777777" w:rsidR="00F36D79" w:rsidRDefault="00F36D79" w:rsidP="00F36D79">
      <w:pPr>
        <w:pStyle w:val="Styl1"/>
        <w:ind w:left="709" w:hanging="709"/>
      </w:pPr>
      <w:r w:rsidRPr="00BB0C3D">
        <w:t xml:space="preserve">Pro podání nabídky v elektronické podobě bude použit certifikovaný elektronický nástroj </w:t>
      </w:r>
      <w:proofErr w:type="spellStart"/>
      <w:r w:rsidRPr="00BB0C3D">
        <w:t>eGORDION</w:t>
      </w:r>
      <w:proofErr w:type="spellEnd"/>
      <w:r w:rsidRPr="00BB0C3D">
        <w:t xml:space="preserve"> v. 3.3 - Tender arena, („</w:t>
      </w:r>
      <w:r w:rsidRPr="00BB0C3D">
        <w:rPr>
          <w:b/>
          <w:bCs/>
        </w:rPr>
        <w:t>Tender arena</w:t>
      </w:r>
      <w:r w:rsidRPr="00BB0C3D">
        <w:t xml:space="preserve">“) dostupný na internetové adrese </w:t>
      </w:r>
      <w:hyperlink r:id="rId13" w:history="1">
        <w:r w:rsidRPr="00BB0C3D">
          <w:rPr>
            <w:rStyle w:val="Hypertextovodkaz"/>
          </w:rPr>
          <w:t>www.tenderarena.cz</w:t>
        </w:r>
      </w:hyperlink>
      <w:r w:rsidRPr="00BB0C3D">
        <w:t>, kde je rovněž dostupný podrobný návod na jeho použití (odkaz „Nápověda“) a kontakty na uživatelskou podporu.</w:t>
      </w:r>
    </w:p>
    <w:p w14:paraId="6DBA7EBC" w14:textId="77777777" w:rsidR="003D3A0E" w:rsidRPr="00BB0C3D" w:rsidRDefault="003D3A0E" w:rsidP="003D3A0E">
      <w:pPr>
        <w:pStyle w:val="Styl1"/>
        <w:numPr>
          <w:ilvl w:val="0"/>
          <w:numId w:val="0"/>
        </w:numPr>
        <w:ind w:left="709"/>
      </w:pPr>
    </w:p>
    <w:p w14:paraId="1B08F0D2" w14:textId="77777777" w:rsidR="00F36D79" w:rsidRPr="00BB0C3D" w:rsidRDefault="00F36D79" w:rsidP="00F36D79">
      <w:pPr>
        <w:pStyle w:val="Styl1"/>
        <w:ind w:left="709" w:hanging="709"/>
      </w:pPr>
      <w:r w:rsidRPr="00BB0C3D">
        <w:lastRenderedPageBreak/>
        <w:t xml:space="preserve">Nabídka v elektronické podobě nesmí přesáhnout objem dat 200 MB, z čehož maximálně 100 MB dokumenty k prokázání kvalifikace a maximálně 100 MB ostatní dokumenty nabídky, s výjimkou případů, kdy je při podání nabídky v elektronickém nástroji uveden vyšší limit objemu dat nabídky (tento vyšší limit je pak vždy pro všechny účastníky zadávacího řízení shodný). </w:t>
      </w:r>
    </w:p>
    <w:p w14:paraId="410B5E16" w14:textId="77777777" w:rsidR="00F36D79" w:rsidRPr="00BB0C3D" w:rsidRDefault="00F36D79" w:rsidP="00F36D79">
      <w:pPr>
        <w:pStyle w:val="Styl1"/>
        <w:ind w:left="709" w:hanging="709"/>
      </w:pPr>
      <w:r w:rsidRPr="00BB0C3D">
        <w:t>Nabídka musí být zpracována prostřednictvím zadavatelem akceptovatelných formátů souborů, tj. Microsoft Office (Word, Excel), Open Office, PDF, JPEG, GIF, nebo PNG; tyto soubory mohou být součástí komprimovaného souboru ve formátu ZIP, RAR, či 7Z, přičemž takovýto komprimovaný soubor nesmí být opatřen heslem.</w:t>
      </w:r>
    </w:p>
    <w:p w14:paraId="6C255BDD" w14:textId="77777777" w:rsidR="00F36D79" w:rsidRPr="00BB0C3D" w:rsidRDefault="00F36D79" w:rsidP="00F36D79">
      <w:pPr>
        <w:pStyle w:val="Styl1"/>
        <w:ind w:left="709" w:hanging="709"/>
      </w:pPr>
      <w:r w:rsidRPr="00BB0C3D">
        <w:t>Dodavatel musí pro podání nabídky disponovat osobním počítačem s nainstalovaným internetovým prohlížečem, připojeným k síti Internet (minimální technické požadavky na osobní počítač, konektivitu k internetu a internetový prohlížeč jsou blíže uvedeny v návodu na použití elektronického nástroje – odkaz „Nápověda“ v prostředí elektronického nástroje).</w:t>
      </w:r>
    </w:p>
    <w:p w14:paraId="7042205F" w14:textId="77777777" w:rsidR="00F36D79" w:rsidRPr="00BB0C3D" w:rsidRDefault="00F36D79" w:rsidP="00F36D79">
      <w:pPr>
        <w:pStyle w:val="Styl1"/>
        <w:ind w:left="709" w:hanging="709"/>
      </w:pPr>
      <w:r w:rsidRPr="00BB0C3D">
        <w:t xml:space="preserve">Dodavatel musí být pro možnost podání nabídky registrován jako dodavatel v elektronickém nástroji Tender arena (odkaz „registrace dodavatele“ na webové stránce </w:t>
      </w:r>
      <w:hyperlink r:id="rId14" w:history="1">
        <w:r w:rsidRPr="00086BE6">
          <w:rPr>
            <w:rStyle w:val="Hypertextovodkaz"/>
          </w:rPr>
          <w:t>www.tenderarena.cz</w:t>
        </w:r>
      </w:hyperlink>
      <w:r w:rsidRPr="00BB0C3D">
        <w:t xml:space="preserve">, popř. </w:t>
      </w:r>
      <w:hyperlink r:id="rId15" w:history="1">
        <w:r w:rsidRPr="00086BE6">
          <w:rPr>
            <w:rStyle w:val="Hypertextovodkaz"/>
          </w:rPr>
          <w:t>www.fen.cz</w:t>
        </w:r>
      </w:hyperlink>
      <w:r w:rsidRPr="00BB0C3D">
        <w:t>) a uživatel dodavatele musí pro podání nabídky disponovat rolí „účastník zakázky“. Vyřízení registrace trvá max. 48 hodin (v pracovní dny) po doložení všech požadovaných dokladů a není zpoplatněna.</w:t>
      </w:r>
    </w:p>
    <w:p w14:paraId="33E0DCB7" w14:textId="77777777" w:rsidR="00F36D79" w:rsidRDefault="00F36D79" w:rsidP="00F36D79">
      <w:pPr>
        <w:pStyle w:val="Styl1"/>
        <w:ind w:left="709" w:hanging="709"/>
      </w:pPr>
      <w:bookmarkStart w:id="26" w:name="_Ref48053206"/>
      <w:r w:rsidRPr="00BB0C3D">
        <w:t>Zadavatel nenese odpovědnost za technické podmínky na straně dodavatele. Zadavatel doporučuje dodavatelům zohlednit zejména rychlost jejich připojení k internetu při podávání nabídky tak, aby tato byla podána ve lhůtě pro podání nabídek (podáním nabídky se rozumí finální odeslání nabídky do nástroje po nahrání veškerých příloh).</w:t>
      </w:r>
      <w:bookmarkEnd w:id="26"/>
    </w:p>
    <w:p w14:paraId="54802A3A" w14:textId="77777777" w:rsidR="00F36D79" w:rsidRPr="00BB0C3D" w:rsidRDefault="00F36D79" w:rsidP="00F36D79">
      <w:pPr>
        <w:pStyle w:val="Styl1"/>
        <w:ind w:left="709" w:hanging="709"/>
      </w:pPr>
      <w:r w:rsidRPr="00BB0C3D">
        <w:t xml:space="preserve">Veřejný klíč k zašifrování nabídky je uveřejněn </w:t>
      </w:r>
      <w:r>
        <w:t>v elektronickém nástroji</w:t>
      </w:r>
      <w:r w:rsidRPr="00BB0C3D">
        <w:t xml:space="preserve"> a bude automaticky použit při podávání nabídky ze strany dodavatele (není tedy nezbytné jej stahovat a znovu vkládat do el</w:t>
      </w:r>
      <w:r>
        <w:t>ektronického</w:t>
      </w:r>
      <w:r w:rsidRPr="00BB0C3D">
        <w:t xml:space="preserve"> nástroje při podání nabídky).</w:t>
      </w:r>
    </w:p>
    <w:p w14:paraId="71A9E7C3" w14:textId="77777777" w:rsidR="006F34A6" w:rsidRDefault="006F34A6" w:rsidP="006F34A6">
      <w:pPr>
        <w:pStyle w:val="Nadpis1"/>
      </w:pPr>
      <w:r>
        <w:t xml:space="preserve">lhůta pro podání nabídek </w:t>
      </w:r>
    </w:p>
    <w:p w14:paraId="3DD0805A" w14:textId="1406AB71" w:rsidR="00EF7080" w:rsidRPr="00B141D1" w:rsidRDefault="00B141D1" w:rsidP="00300C0F">
      <w:pPr>
        <w:pStyle w:val="Styl1"/>
        <w:ind w:left="709" w:hanging="709"/>
        <w:rPr>
          <w:rStyle w:val="Hypertextovodkaz"/>
        </w:rPr>
      </w:pPr>
      <w:r w:rsidRPr="00D77531">
        <w:t>Dodavatel podá nabídku v elektronické podobě prostřednictvím elektronického nástroje dostupného na stránkách:</w:t>
      </w:r>
      <w:r>
        <w:t xml:space="preserve"> </w:t>
      </w:r>
      <w:hyperlink r:id="rId16" w:history="1">
        <w:r w:rsidR="00EF7080" w:rsidRPr="00EF7080">
          <w:rPr>
            <w:rStyle w:val="Hypertextovodkaz"/>
            <w:rFonts w:cs="Arial"/>
          </w:rPr>
          <w:t>https://www.tenderarena.cz/profily/FZU</w:t>
        </w:r>
      </w:hyperlink>
    </w:p>
    <w:p w14:paraId="412C1571" w14:textId="08A7FA60" w:rsidR="006F34A6" w:rsidRDefault="006F34A6" w:rsidP="006F34A6">
      <w:pPr>
        <w:pStyle w:val="Styl1"/>
        <w:ind w:left="709" w:hanging="709"/>
      </w:pPr>
      <w:r>
        <w:t xml:space="preserve">Lhůta pro podání nabídek končí </w:t>
      </w:r>
      <w:r w:rsidRPr="00E81349">
        <w:t xml:space="preserve">dne </w:t>
      </w:r>
      <w:r w:rsidR="00E469F9" w:rsidRPr="00E469F9">
        <w:rPr>
          <w:b/>
          <w:szCs w:val="22"/>
        </w:rPr>
        <w:t xml:space="preserve">31. 1. 2025 </w:t>
      </w:r>
      <w:r w:rsidR="005D084D" w:rsidRPr="00E469F9">
        <w:rPr>
          <w:b/>
          <w:szCs w:val="22"/>
        </w:rPr>
        <w:t>v </w:t>
      </w:r>
      <w:r w:rsidR="00B141D1" w:rsidRPr="00E469F9">
        <w:rPr>
          <w:b/>
          <w:bCs/>
        </w:rPr>
        <w:t>10</w:t>
      </w:r>
      <w:r w:rsidR="005D084D" w:rsidRPr="00E469F9">
        <w:rPr>
          <w:b/>
          <w:bCs/>
        </w:rPr>
        <w:t>:</w:t>
      </w:r>
      <w:r w:rsidR="00B141D1" w:rsidRPr="00E469F9">
        <w:rPr>
          <w:b/>
          <w:bCs/>
        </w:rPr>
        <w:t>00 hodin</w:t>
      </w:r>
      <w:r w:rsidRPr="00B141D1">
        <w:rPr>
          <w:rStyle w:val="Hypertextovodkaz"/>
          <w:color w:val="000000" w:themeColor="text1"/>
          <w:u w:val="none"/>
          <w:lang w:eastAsia="cs-CZ"/>
        </w:rPr>
        <w:t>.</w:t>
      </w:r>
      <w:r w:rsidRPr="00E81349">
        <w:t xml:space="preserve"> Za řádné</w:t>
      </w:r>
      <w:r w:rsidRPr="005419D9">
        <w:t> podání nabídky a</w:t>
      </w:r>
      <w:r>
        <w:t> </w:t>
      </w:r>
      <w:r w:rsidRPr="005419D9">
        <w:t>za</w:t>
      </w:r>
      <w:r>
        <w:t> </w:t>
      </w:r>
      <w:r w:rsidRPr="005419D9">
        <w:t>podání nabídky včas odpovídá dodavatel. Otevírají se pouze nabídky podané ve lhůtě pro</w:t>
      </w:r>
      <w:r>
        <w:t> </w:t>
      </w:r>
      <w:r w:rsidRPr="005419D9">
        <w:t>podání nabídek.</w:t>
      </w:r>
    </w:p>
    <w:p w14:paraId="533F5DD3" w14:textId="77777777" w:rsidR="006F34A6" w:rsidRDefault="006F34A6" w:rsidP="006F34A6">
      <w:pPr>
        <w:pStyle w:val="Styl1"/>
        <w:ind w:left="709" w:hanging="709"/>
      </w:pPr>
      <w:r w:rsidRPr="005419D9">
        <w:t>K nabídkám, které nebyly doručeny způsobem stanoveným v této zadávací dokumentaci nebo nebyly doručeny ve lhůtě pro podání nabídek, se nepřihlíží.</w:t>
      </w:r>
    </w:p>
    <w:p w14:paraId="40FF5652" w14:textId="77777777" w:rsidR="006F34A6" w:rsidRDefault="006F34A6" w:rsidP="006F34A6">
      <w:pPr>
        <w:pStyle w:val="Styl1"/>
        <w:ind w:left="709" w:hanging="709"/>
      </w:pPr>
      <w:r>
        <w:t>Vzhledem k tomu, že nabídky jsou podávány pouze elektronicky, otevírání nabídek bude neveřejné.</w:t>
      </w:r>
    </w:p>
    <w:p w14:paraId="315EA9D4" w14:textId="77777777" w:rsidR="002973A4" w:rsidRPr="00442EFB" w:rsidRDefault="002973A4" w:rsidP="002973A4">
      <w:pPr>
        <w:pStyle w:val="Nadpis1"/>
      </w:pPr>
      <w:r w:rsidRPr="00442EFB">
        <w:t xml:space="preserve">Vysvětlení zadávací </w:t>
      </w:r>
      <w:r w:rsidRPr="00E1002D">
        <w:t>dokumentace</w:t>
      </w:r>
      <w:r w:rsidRPr="00442EFB">
        <w:t xml:space="preserve"> a její změny nebo doplnění</w:t>
      </w:r>
    </w:p>
    <w:p w14:paraId="17A5F253" w14:textId="75F83EF5" w:rsidR="002973A4" w:rsidRDefault="002973A4" w:rsidP="002973A4">
      <w:pPr>
        <w:pStyle w:val="Styl11"/>
        <w:numPr>
          <w:ilvl w:val="1"/>
          <w:numId w:val="1"/>
        </w:numPr>
        <w:tabs>
          <w:tab w:val="left" w:pos="1135"/>
        </w:tabs>
        <w:ind w:left="709" w:hanging="709"/>
      </w:pPr>
      <w:r>
        <w:t xml:space="preserve">Vysvětlení zadávací dokumentace bude poskytováno v souladu s ustanovením § 98 ZZVZ. Účastník je oprávněn po zadavateli požadovat písemně vysvětlení zadávacích podmínek. </w:t>
      </w:r>
      <w:r>
        <w:lastRenderedPageBreak/>
        <w:t xml:space="preserve">Písemná žádost musí být zadavateli doručena </w:t>
      </w:r>
      <w:r w:rsidRPr="00D33F7A">
        <w:t xml:space="preserve">nejpozději </w:t>
      </w:r>
      <w:r w:rsidR="00033671" w:rsidRPr="00D33F7A">
        <w:rPr>
          <w:b/>
          <w:bCs/>
        </w:rPr>
        <w:t>8</w:t>
      </w:r>
      <w:r w:rsidRPr="00D33F7A">
        <w:rPr>
          <w:b/>
          <w:bCs/>
        </w:rPr>
        <w:t xml:space="preserve"> pracovních dní</w:t>
      </w:r>
      <w:r>
        <w:t xml:space="preserve"> před uplynutím lhůty pro podání nabídek. </w:t>
      </w:r>
    </w:p>
    <w:p w14:paraId="544E187E" w14:textId="77777777" w:rsidR="002973A4" w:rsidRDefault="002973A4" w:rsidP="002973A4">
      <w:pPr>
        <w:pStyle w:val="Styl11"/>
        <w:numPr>
          <w:ilvl w:val="1"/>
          <w:numId w:val="1"/>
        </w:numPr>
        <w:tabs>
          <w:tab w:val="left" w:pos="1135"/>
        </w:tabs>
        <w:ind w:left="709" w:hanging="709"/>
      </w:pPr>
      <w:r>
        <w:t>Písemnou žádost o vysvětlení zadávací dokumentace je možné doručit:</w:t>
      </w:r>
    </w:p>
    <w:p w14:paraId="530E7868" w14:textId="77777777" w:rsidR="002973A4" w:rsidRDefault="002973A4" w:rsidP="002973A4">
      <w:pPr>
        <w:pStyle w:val="Styl11"/>
        <w:numPr>
          <w:ilvl w:val="1"/>
          <w:numId w:val="12"/>
        </w:numPr>
        <w:ind w:left="1418" w:hanging="284"/>
      </w:pPr>
      <w:r>
        <w:t xml:space="preserve">v elektronické podobě prostřednictvím datové zprávy do datové schránky kontaktní osoby dle článku 1. zadávací dokumentace; </w:t>
      </w:r>
    </w:p>
    <w:p w14:paraId="6D2E176D" w14:textId="77777777" w:rsidR="002973A4" w:rsidRDefault="002973A4" w:rsidP="002973A4">
      <w:pPr>
        <w:pStyle w:val="Styl11"/>
        <w:numPr>
          <w:ilvl w:val="1"/>
          <w:numId w:val="12"/>
        </w:numPr>
        <w:ind w:left="1418" w:hanging="284"/>
      </w:pPr>
      <w:r>
        <w:t xml:space="preserve">v elektronické podobě prostřednictvím profilu zadavatele; </w:t>
      </w:r>
    </w:p>
    <w:p w14:paraId="1C45B526" w14:textId="77777777" w:rsidR="002973A4" w:rsidRPr="0097335A" w:rsidRDefault="002973A4" w:rsidP="002973A4">
      <w:pPr>
        <w:pStyle w:val="Styl11"/>
        <w:numPr>
          <w:ilvl w:val="1"/>
          <w:numId w:val="12"/>
        </w:numPr>
        <w:ind w:left="1418" w:hanging="284"/>
      </w:pPr>
      <w:r>
        <w:t xml:space="preserve">v elektronické </w:t>
      </w:r>
      <w:r w:rsidRPr="0097335A">
        <w:t xml:space="preserve">podobě e-mailem </w:t>
      </w:r>
      <w:r w:rsidRPr="0097335A">
        <w:rPr>
          <w:b/>
        </w:rPr>
        <w:t>kontaktní osobě</w:t>
      </w:r>
      <w:r w:rsidRPr="0097335A">
        <w:t xml:space="preserve"> dle článku 1. zadávací dokumentace.</w:t>
      </w:r>
    </w:p>
    <w:p w14:paraId="394332B8" w14:textId="77777777" w:rsidR="002973A4" w:rsidRPr="0097335A" w:rsidRDefault="002973A4" w:rsidP="002973A4">
      <w:pPr>
        <w:pStyle w:val="Styl11"/>
        <w:numPr>
          <w:ilvl w:val="1"/>
          <w:numId w:val="1"/>
        </w:numPr>
        <w:ind w:left="709" w:hanging="709"/>
      </w:pPr>
      <w:r w:rsidRPr="0097335A">
        <w:t>Vysvětlení zadávací dokumentace může zadavatel poskytnout i bez předchozí žádosti účastníka o její vysvětlení.</w:t>
      </w:r>
    </w:p>
    <w:p w14:paraId="61FD945C" w14:textId="084874A5" w:rsidR="002973A4" w:rsidRPr="0097335A" w:rsidRDefault="002973A4" w:rsidP="002973A4">
      <w:pPr>
        <w:pStyle w:val="Styl11"/>
        <w:numPr>
          <w:ilvl w:val="1"/>
          <w:numId w:val="1"/>
        </w:numPr>
        <w:ind w:left="709" w:hanging="709"/>
      </w:pPr>
      <w:r w:rsidRPr="0097335A">
        <w:t>Zadavatel odešle/uveřejní vysvětlení zadávací dokumentace (zadávacích podmínek), nejpozději do 3 pracovních dnů od doručení žádosti podle bodu 1</w:t>
      </w:r>
      <w:r w:rsidR="006E1966" w:rsidRPr="0097335A">
        <w:t>1</w:t>
      </w:r>
      <w:r w:rsidRPr="0097335A">
        <w:t>.1. a 1</w:t>
      </w:r>
      <w:r w:rsidR="006E1966" w:rsidRPr="0097335A">
        <w:t>1</w:t>
      </w:r>
      <w:r w:rsidRPr="0097335A">
        <w:t xml:space="preserve">.2. zadávací dokumentace. Pokud zadavatel na žádost o vysvětlení, která není doručena včas, vysvětlení poskytne, nemusí dodržet lhůty uvedené v ustanovení § 98 odst. 1 ZZVZ. </w:t>
      </w:r>
    </w:p>
    <w:p w14:paraId="012F4A14" w14:textId="49380B8D" w:rsidR="004147AF" w:rsidRPr="0097335A" w:rsidRDefault="002973A4" w:rsidP="000204E6">
      <w:pPr>
        <w:pStyle w:val="Styl11"/>
        <w:numPr>
          <w:ilvl w:val="1"/>
          <w:numId w:val="1"/>
        </w:numPr>
        <w:ind w:left="709" w:hanging="709"/>
      </w:pPr>
      <w:r w:rsidRPr="0097335A">
        <w:t>Vysvětlení zadávacích podmínek, včetně přesného znění požadavku o vysvětlení podle bodu 1</w:t>
      </w:r>
      <w:r w:rsidR="002E20E9" w:rsidRPr="0097335A">
        <w:t>1</w:t>
      </w:r>
      <w:r w:rsidRPr="0097335A">
        <w:t>.1. a 1</w:t>
      </w:r>
      <w:r w:rsidR="002E20E9" w:rsidRPr="0097335A">
        <w:t>1</w:t>
      </w:r>
      <w:r w:rsidRPr="0097335A">
        <w:t>.2. této zadávací dokumentace, zveřejní zadavatel na profilu zadavatele.</w:t>
      </w:r>
    </w:p>
    <w:p w14:paraId="09F5315D" w14:textId="728FCCA2" w:rsidR="000204E6" w:rsidRPr="0097335A" w:rsidRDefault="000204E6" w:rsidP="000204E6">
      <w:pPr>
        <w:pStyle w:val="Nadpis1"/>
      </w:pPr>
      <w:bookmarkStart w:id="27" w:name="_Toc464636485"/>
      <w:bookmarkStart w:id="28" w:name="_Toc473669627"/>
      <w:r w:rsidRPr="0097335A">
        <w:t>Podmínky pro uzavření</w:t>
      </w:r>
      <w:bookmarkEnd w:id="27"/>
      <w:r w:rsidRPr="0097335A">
        <w:t xml:space="preserve"> </w:t>
      </w:r>
      <w:bookmarkEnd w:id="28"/>
      <w:r w:rsidRPr="0097335A">
        <w:t>smlouvy</w:t>
      </w:r>
    </w:p>
    <w:p w14:paraId="183F4C06" w14:textId="1E0DF97A" w:rsidR="003C084E" w:rsidRPr="003C084E" w:rsidRDefault="000204E6" w:rsidP="003C084E">
      <w:pPr>
        <w:pStyle w:val="Styl11"/>
        <w:numPr>
          <w:ilvl w:val="1"/>
          <w:numId w:val="1"/>
        </w:numPr>
        <w:ind w:left="709" w:hanging="709"/>
      </w:pPr>
      <w:r w:rsidRPr="0097335A">
        <w:t xml:space="preserve">Je-li vybraný dodavatel </w:t>
      </w:r>
      <w:r w:rsidRPr="0097335A">
        <w:rPr>
          <w:rFonts w:hint="eastAsia"/>
        </w:rPr>
        <w:t>č</w:t>
      </w:r>
      <w:r w:rsidRPr="0097335A">
        <w:t>eskou právnickou osobou, zjistí zadavatel údaje o jeho skute</w:t>
      </w:r>
      <w:r w:rsidRPr="0097335A">
        <w:rPr>
          <w:rFonts w:hint="eastAsia"/>
        </w:rPr>
        <w:t>č</w:t>
      </w:r>
      <w:r w:rsidRPr="0097335A">
        <w:t>ném majiteli v evidenci skute</w:t>
      </w:r>
      <w:r w:rsidRPr="0097335A">
        <w:rPr>
          <w:rFonts w:hint="eastAsia"/>
        </w:rPr>
        <w:t>č</w:t>
      </w:r>
      <w:r w:rsidRPr="0097335A">
        <w:t>ných majitel</w:t>
      </w:r>
      <w:r w:rsidRPr="0097335A">
        <w:rPr>
          <w:rFonts w:hint="eastAsia"/>
        </w:rPr>
        <w:t>ů</w:t>
      </w:r>
      <w:r w:rsidRPr="0097335A">
        <w:t xml:space="preserve"> vedené dle zákona </w:t>
      </w:r>
      <w:r w:rsidRPr="0097335A">
        <w:rPr>
          <w:rFonts w:hint="eastAsia"/>
        </w:rPr>
        <w:t>č</w:t>
      </w:r>
      <w:r w:rsidRPr="0097335A">
        <w:t>. 37/2021 Sb., o evidenci skute</w:t>
      </w:r>
      <w:r w:rsidRPr="0097335A">
        <w:rPr>
          <w:rFonts w:hint="eastAsia"/>
        </w:rPr>
        <w:t>č</w:t>
      </w:r>
      <w:r w:rsidRPr="0097335A">
        <w:t>ných majitel</w:t>
      </w:r>
      <w:r w:rsidRPr="0097335A">
        <w:rPr>
          <w:rFonts w:hint="eastAsia"/>
        </w:rPr>
        <w:t>ů</w:t>
      </w:r>
      <w:r w:rsidRPr="0097335A">
        <w:t>. Nejedná-li se o osobu, na kterou se vztahuje zákonná výjimka</w:t>
      </w:r>
      <w:r w:rsidRPr="00EE3011">
        <w:t>, musí být údaje o skute</w:t>
      </w:r>
      <w:r w:rsidRPr="00EE3011">
        <w:rPr>
          <w:rFonts w:hint="eastAsia"/>
        </w:rPr>
        <w:t>č</w:t>
      </w:r>
      <w:r w:rsidRPr="00EE3011">
        <w:t>ném majiteli v evidenci skute</w:t>
      </w:r>
      <w:r w:rsidRPr="00EE3011">
        <w:rPr>
          <w:rFonts w:hint="eastAsia"/>
        </w:rPr>
        <w:t>č</w:t>
      </w:r>
      <w:r w:rsidRPr="00EE3011">
        <w:t>ných majitel</w:t>
      </w:r>
      <w:r w:rsidRPr="00EE3011">
        <w:rPr>
          <w:rFonts w:hint="eastAsia"/>
        </w:rPr>
        <w:t>ů</w:t>
      </w:r>
      <w:r w:rsidRPr="00EE3011">
        <w:t xml:space="preserve"> zapsány. Vybraný dodavatel, který je </w:t>
      </w:r>
      <w:r w:rsidRPr="00EE3011">
        <w:rPr>
          <w:rFonts w:hint="eastAsia"/>
        </w:rPr>
        <w:t>č</w:t>
      </w:r>
      <w:r w:rsidRPr="00EE3011">
        <w:t>eskou právnickou osobou, která má skute</w:t>
      </w:r>
      <w:r w:rsidRPr="00EE3011">
        <w:rPr>
          <w:rFonts w:hint="eastAsia"/>
        </w:rPr>
        <w:t>č</w:t>
      </w:r>
      <w:r w:rsidRPr="00EE3011">
        <w:t>ného majitele, bude vylou</w:t>
      </w:r>
      <w:r w:rsidRPr="00EE3011">
        <w:rPr>
          <w:rFonts w:hint="eastAsia"/>
        </w:rPr>
        <w:t>č</w:t>
      </w:r>
      <w:r w:rsidRPr="00EE3011">
        <w:t xml:space="preserve">en ze zadávacího </w:t>
      </w:r>
      <w:r w:rsidRPr="00EE3011">
        <w:rPr>
          <w:rFonts w:hint="eastAsia"/>
        </w:rPr>
        <w:t>ří</w:t>
      </w:r>
      <w:r w:rsidRPr="00EE3011">
        <w:t>zení, pokud nebude možné zjistit údaje o jeho skute</w:t>
      </w:r>
      <w:r w:rsidRPr="00EE3011">
        <w:rPr>
          <w:rFonts w:hint="eastAsia"/>
        </w:rPr>
        <w:t>č</w:t>
      </w:r>
      <w:r w:rsidRPr="00EE3011">
        <w:t>ném majiteli z evidence skute</w:t>
      </w:r>
      <w:r w:rsidRPr="00EE3011">
        <w:rPr>
          <w:rFonts w:hint="eastAsia"/>
        </w:rPr>
        <w:t>č</w:t>
      </w:r>
      <w:r w:rsidRPr="00EE3011">
        <w:t>ných majitel</w:t>
      </w:r>
      <w:r w:rsidRPr="00EE3011">
        <w:rPr>
          <w:rFonts w:hint="eastAsia"/>
        </w:rPr>
        <w:t>ů</w:t>
      </w:r>
      <w:r w:rsidRPr="00EE3011">
        <w:t>; k zápisu zp</w:t>
      </w:r>
      <w:r w:rsidRPr="00EE3011">
        <w:rPr>
          <w:rFonts w:hint="eastAsia"/>
        </w:rPr>
        <w:t>ří</w:t>
      </w:r>
      <w:r w:rsidRPr="00EE3011">
        <w:t>stupn</w:t>
      </w:r>
      <w:r w:rsidRPr="00EE3011">
        <w:rPr>
          <w:rFonts w:hint="eastAsia"/>
        </w:rPr>
        <w:t>ě</w:t>
      </w:r>
      <w:r w:rsidRPr="00EE3011">
        <w:t>nému v evidenci skute</w:t>
      </w:r>
      <w:r w:rsidRPr="00EE3011">
        <w:rPr>
          <w:rFonts w:hint="eastAsia"/>
        </w:rPr>
        <w:t>č</w:t>
      </w:r>
      <w:r w:rsidRPr="00EE3011">
        <w:t>ných majitel</w:t>
      </w:r>
      <w:r w:rsidRPr="00EE3011">
        <w:rPr>
          <w:rFonts w:hint="eastAsia"/>
        </w:rPr>
        <w:t>ů</w:t>
      </w:r>
      <w:r w:rsidRPr="00EE3011">
        <w:t xml:space="preserve"> po odeslání oznámení o</w:t>
      </w:r>
      <w:r>
        <w:t> </w:t>
      </w:r>
      <w:r w:rsidRPr="00EE3011">
        <w:t>vylou</w:t>
      </w:r>
      <w:r w:rsidRPr="00EE3011">
        <w:rPr>
          <w:rFonts w:hint="eastAsia"/>
        </w:rPr>
        <w:t>č</w:t>
      </w:r>
      <w:r w:rsidRPr="00EE3011">
        <w:t>ení dodavatele se nep</w:t>
      </w:r>
      <w:r w:rsidRPr="00EE3011">
        <w:rPr>
          <w:rFonts w:hint="eastAsia"/>
        </w:rPr>
        <w:t>ř</w:t>
      </w:r>
      <w:r w:rsidRPr="00EE3011">
        <w:t>ihlíží. Pro vybraného dodavatele, který je zahrani</w:t>
      </w:r>
      <w:r w:rsidRPr="00EE3011">
        <w:rPr>
          <w:rFonts w:hint="eastAsia"/>
        </w:rPr>
        <w:t>č</w:t>
      </w:r>
      <w:r w:rsidRPr="00EE3011">
        <w:t>ní právnickou osobou, platí ustanovení</w:t>
      </w:r>
      <w:r>
        <w:t xml:space="preserve"> § </w:t>
      </w:r>
      <w:r w:rsidRPr="00EE3011">
        <w:t>122 odst. 5 ZZVZ.</w:t>
      </w:r>
    </w:p>
    <w:p w14:paraId="79EEF6F5" w14:textId="77777777" w:rsidR="00600ADE" w:rsidRPr="00A81DCF" w:rsidRDefault="00600ADE" w:rsidP="00600ADE">
      <w:pPr>
        <w:pStyle w:val="Nadpis1"/>
      </w:pPr>
      <w:bookmarkStart w:id="29" w:name="_Toc1391649"/>
      <w:r w:rsidRPr="00A81DCF">
        <w:t>Zadávací lhůta</w:t>
      </w:r>
      <w:bookmarkEnd w:id="29"/>
    </w:p>
    <w:p w14:paraId="2580DECA" w14:textId="2177C721" w:rsidR="00C010D6" w:rsidRDefault="00600ADE" w:rsidP="00857328">
      <w:pPr>
        <w:pStyle w:val="Styl11"/>
        <w:numPr>
          <w:ilvl w:val="1"/>
          <w:numId w:val="1"/>
        </w:numPr>
        <w:ind w:left="709" w:hanging="709"/>
      </w:pPr>
      <w:r w:rsidRPr="009F76C7">
        <w:t xml:space="preserve">Zadavatel </w:t>
      </w:r>
      <w:r>
        <w:t>ne</w:t>
      </w:r>
      <w:r w:rsidRPr="009F76C7">
        <w:t>stanov</w:t>
      </w:r>
      <w:r>
        <w:t xml:space="preserve">í v zadávacím řízení </w:t>
      </w:r>
      <w:r w:rsidRPr="009F76C7">
        <w:t>zadávací lh</w:t>
      </w:r>
      <w:r w:rsidRPr="00CD6735">
        <w:t>ůtu</w:t>
      </w:r>
      <w:r>
        <w:t xml:space="preserve"> ve smyslu § 40 ZZVZ</w:t>
      </w:r>
      <w:r w:rsidRPr="00B71B67">
        <w:t>.</w:t>
      </w:r>
    </w:p>
    <w:p w14:paraId="260A66FB" w14:textId="2D9078D8" w:rsidR="00857328" w:rsidRPr="00D860EF" w:rsidRDefault="00857328" w:rsidP="00857328">
      <w:pPr>
        <w:pStyle w:val="Nadpis1"/>
      </w:pPr>
      <w:r>
        <w:t>S</w:t>
      </w:r>
      <w:r w:rsidRPr="00D860EF">
        <w:t xml:space="preserve">třet zájmů dle </w:t>
      </w:r>
      <w:r w:rsidR="00B141D1">
        <w:t>zákona o střetu zájmů, prohlášení ve vztahu k mezinárodním sankcím</w:t>
      </w:r>
    </w:p>
    <w:p w14:paraId="1095E465" w14:textId="09639463" w:rsidR="00B141D1" w:rsidRPr="0012631C" w:rsidRDefault="00B141D1" w:rsidP="00B141D1">
      <w:pPr>
        <w:pStyle w:val="Styl11"/>
        <w:numPr>
          <w:ilvl w:val="1"/>
          <w:numId w:val="1"/>
        </w:numPr>
        <w:pBdr>
          <w:top w:val="nil"/>
          <w:left w:val="nil"/>
          <w:bottom w:val="nil"/>
          <w:right w:val="nil"/>
          <w:between w:val="nil"/>
        </w:pBdr>
        <w:suppressAutoHyphens/>
        <w:ind w:left="709" w:hanging="709"/>
        <w:textDirection w:val="btLr"/>
        <w:textAlignment w:val="top"/>
        <w:outlineLvl w:val="0"/>
        <w:rPr>
          <w:rFonts w:cstheme="minorHAnsi"/>
          <w:color w:val="000000"/>
          <w:szCs w:val="22"/>
        </w:rPr>
      </w:pPr>
      <w:r w:rsidRPr="00B141D1">
        <w:rPr>
          <w:rFonts w:cstheme="minorHAnsi"/>
          <w:color w:val="000000"/>
          <w:szCs w:val="22"/>
        </w:rPr>
        <w:t xml:space="preserve">Dle </w:t>
      </w:r>
      <w:proofErr w:type="spellStart"/>
      <w:r w:rsidRPr="00B141D1">
        <w:rPr>
          <w:rFonts w:cstheme="minorHAnsi"/>
          <w:color w:val="000000"/>
          <w:szCs w:val="22"/>
        </w:rPr>
        <w:t>ust</w:t>
      </w:r>
      <w:proofErr w:type="spellEnd"/>
      <w:r w:rsidRPr="00B141D1">
        <w:rPr>
          <w:rFonts w:cstheme="minorHAnsi"/>
          <w:color w:val="000000"/>
          <w:szCs w:val="22"/>
        </w:rPr>
        <w:t>. § 4b zákona č. 159/2006 Sb., o střetu zájmů, ve znění pozdějších předpisů („</w:t>
      </w:r>
      <w:r w:rsidRPr="00B141D1">
        <w:rPr>
          <w:rFonts w:cstheme="minorHAnsi"/>
          <w:b/>
          <w:color w:val="000000"/>
          <w:szCs w:val="22"/>
        </w:rPr>
        <w:t>Zákon o střetu zájmů</w:t>
      </w:r>
      <w:r w:rsidRPr="00B141D1">
        <w:rPr>
          <w:rFonts w:cstheme="minorHAnsi"/>
          <w:color w:val="000000"/>
          <w:szCs w:val="22"/>
        </w:rPr>
        <w:t xml:space="preserve">“) nesmí zadavatel zadat zakázku dodavateli, tj. obchodní společnosti, ve které veřejný funkcionář uvedený v § 2 odst. 1 písm. c) Zákona o střetu zájmů nebo jím ovládaná osoba vlastní podíl představující alespoň 25 % účasti společníka v obchodní společnosti. Zadavatel požaduje, aby dodavatel a jeho poddodavatel, prostřednictvím kterého prokazuje kvalifikaci, nebyli ve střetu zájmů dle </w:t>
      </w:r>
      <w:proofErr w:type="spellStart"/>
      <w:r w:rsidRPr="00B141D1">
        <w:rPr>
          <w:rFonts w:cstheme="minorHAnsi"/>
          <w:color w:val="000000"/>
          <w:szCs w:val="22"/>
        </w:rPr>
        <w:t>ust</w:t>
      </w:r>
      <w:proofErr w:type="spellEnd"/>
      <w:r w:rsidRPr="00B141D1">
        <w:rPr>
          <w:rFonts w:cstheme="minorHAnsi"/>
          <w:color w:val="000000"/>
          <w:szCs w:val="22"/>
        </w:rPr>
        <w:t>. § 4b zákona o střetu zájmů.</w:t>
      </w:r>
    </w:p>
    <w:p w14:paraId="610384C6" w14:textId="32149F98" w:rsidR="00B141D1" w:rsidRPr="000F56C5" w:rsidRDefault="00B141D1" w:rsidP="0012631C">
      <w:pPr>
        <w:pStyle w:val="Styl11"/>
        <w:numPr>
          <w:ilvl w:val="1"/>
          <w:numId w:val="1"/>
        </w:numPr>
        <w:ind w:left="709" w:hanging="709"/>
        <w:textDirection w:val="btLr"/>
        <w:rPr>
          <w:szCs w:val="22"/>
        </w:rPr>
      </w:pPr>
      <w:bookmarkStart w:id="30" w:name="_heading=h.2p2csry" w:colFirst="0" w:colLast="0"/>
      <w:bookmarkEnd w:id="30"/>
      <w:r w:rsidRPr="00B141D1">
        <w:rPr>
          <w:szCs w:val="22"/>
        </w:rPr>
        <w:lastRenderedPageBreak/>
        <w:t xml:space="preserve">Vybraný dodavatel v rámci součinnosti k uzavření smlouvy předloží čestné prohlášení, ze kterého bude jednoznačně vyplývat, že on, ani jeho poddodavatel, prostřednictvím kterého prokazuje kvalifikaci (existuje-li takový), neporušil požadavek </w:t>
      </w:r>
      <w:proofErr w:type="spellStart"/>
      <w:r w:rsidRPr="00B141D1">
        <w:rPr>
          <w:szCs w:val="22"/>
        </w:rPr>
        <w:t>ust</w:t>
      </w:r>
      <w:proofErr w:type="spellEnd"/>
      <w:r w:rsidRPr="00B141D1">
        <w:rPr>
          <w:szCs w:val="22"/>
        </w:rPr>
        <w:t xml:space="preserve">. § 4b Zákona o střetu zájmů. </w:t>
      </w:r>
      <w:r w:rsidRPr="00B141D1">
        <w:rPr>
          <w:szCs w:val="22"/>
          <w:u w:val="single"/>
        </w:rPr>
        <w:t xml:space="preserve">Pro splnění této povinnosti použije Dodavatel vzor čestného prohlášení, který je součástí </w:t>
      </w:r>
      <w:r w:rsidRPr="000F56C5">
        <w:rPr>
          <w:szCs w:val="22"/>
          <w:u w:val="single"/>
        </w:rPr>
        <w:t xml:space="preserve">Přílohy č. </w:t>
      </w:r>
      <w:r w:rsidR="00517013" w:rsidRPr="000F56C5">
        <w:rPr>
          <w:szCs w:val="22"/>
          <w:u w:val="single"/>
        </w:rPr>
        <w:t>3</w:t>
      </w:r>
      <w:r w:rsidRPr="000F56C5">
        <w:rPr>
          <w:szCs w:val="22"/>
          <w:u w:val="single"/>
        </w:rPr>
        <w:t xml:space="preserve"> této zadávací dokumentace</w:t>
      </w:r>
      <w:r w:rsidRPr="000F56C5">
        <w:rPr>
          <w:szCs w:val="22"/>
        </w:rPr>
        <w:t>.</w:t>
      </w:r>
    </w:p>
    <w:p w14:paraId="48E05894" w14:textId="0A5CC320" w:rsidR="00B141D1" w:rsidRPr="00B141D1" w:rsidRDefault="00B141D1" w:rsidP="00B141D1">
      <w:pPr>
        <w:pStyle w:val="Styl11"/>
        <w:numPr>
          <w:ilvl w:val="1"/>
          <w:numId w:val="1"/>
        </w:numPr>
        <w:ind w:left="709" w:hanging="709"/>
        <w:rPr>
          <w:szCs w:val="22"/>
        </w:rPr>
      </w:pPr>
      <w:r w:rsidRPr="000F56C5">
        <w:rPr>
          <w:szCs w:val="22"/>
        </w:rPr>
        <w:t>Vybraný dodavatel bude dále v rámci součinnosti k uzavření smlouvy vyzván k uvedení informací týkajících se nařízení (EU) č. 833/2014 o omezujících opatřeních vzhledem k činnostem Ruska destabilizujícím situaci na Ukrajině, ve znění nařízení Rady (EU) č. 2022/1269 ze dne 21. července 2022 ("</w:t>
      </w:r>
      <w:r w:rsidRPr="000F56C5">
        <w:rPr>
          <w:b/>
          <w:bCs/>
          <w:szCs w:val="22"/>
        </w:rPr>
        <w:t>nařízení</w:t>
      </w:r>
      <w:r w:rsidRPr="000F56C5">
        <w:rPr>
          <w:szCs w:val="22"/>
        </w:rPr>
        <w:t xml:space="preserve">"), že hospodářský subjekt není osobou ve smyslu čl. 5k nařízení a že se na nej nevztahují sankce podle příslušného zákona upravujícího provádění mezinárodních sankcí. Stejné prohlášení bude učiněno ve vztahu k nařízení Rady (EU) č. 269/2014 ze dne 17. března 2014, o omezujících opatřeních vzhledem k činnostem narušujícím nebo ohrožujícím územní celistvost, svrchovanost a nezávislost Ukrajiny, ve znění pozdějších aktualizací, a nařízení Rady (ES) č. 765/2006 ze dne 18. května 2006 o omezujících opatřeních vůči prezidentu Lukašenkovi a některým představitelům Běloruska, ve znění pozdějších aktualizací.  </w:t>
      </w:r>
      <w:r w:rsidRPr="000F56C5">
        <w:rPr>
          <w:szCs w:val="22"/>
          <w:u w:val="single"/>
        </w:rPr>
        <w:t xml:space="preserve">Pro splnění této povinnosti použije dodavatel vzor čestného prohlášení, který je součástí </w:t>
      </w:r>
      <w:r w:rsidR="00517013" w:rsidRPr="000F56C5">
        <w:rPr>
          <w:szCs w:val="22"/>
          <w:u w:val="single"/>
        </w:rPr>
        <w:t xml:space="preserve">Přílohy č. 3 </w:t>
      </w:r>
      <w:r w:rsidRPr="000F56C5">
        <w:rPr>
          <w:szCs w:val="22"/>
          <w:u w:val="single"/>
        </w:rPr>
        <w:t>této zadávací</w:t>
      </w:r>
      <w:r w:rsidRPr="00B141D1">
        <w:rPr>
          <w:szCs w:val="22"/>
          <w:u w:val="single"/>
        </w:rPr>
        <w:t xml:space="preserve"> dokumentace</w:t>
      </w:r>
      <w:r w:rsidRPr="00B141D1">
        <w:rPr>
          <w:szCs w:val="22"/>
        </w:rPr>
        <w:t>.</w:t>
      </w:r>
    </w:p>
    <w:p w14:paraId="591BF38A" w14:textId="77777777" w:rsidR="002B64AE" w:rsidRPr="00D860EF" w:rsidRDefault="002B64AE" w:rsidP="002B64AE">
      <w:pPr>
        <w:pStyle w:val="Nadpis1"/>
      </w:pPr>
      <w:r w:rsidRPr="00EC0ECD">
        <w:t>Další informace a požadavky zadavatele</w:t>
      </w:r>
    </w:p>
    <w:p w14:paraId="591BBD19" w14:textId="77777777" w:rsidR="002B64AE" w:rsidRDefault="002B64AE" w:rsidP="002B64AE">
      <w:pPr>
        <w:pStyle w:val="Styl11"/>
        <w:numPr>
          <w:ilvl w:val="1"/>
          <w:numId w:val="1"/>
        </w:numPr>
        <w:ind w:left="709" w:hanging="709"/>
      </w:pPr>
      <w:r>
        <w:t>Zadavatel si vyhrazuje, že veškeré zadávací podmínky obsažené v této zadávací dokumentaci mají přednost před veškerými údaji a informacemi obsaženými v nabídkách dodavatelů, přičemž vznikne-li rozpor mezi zadávacími podmínkami v této zadávací dokumentaci a údaji a informacemi obsaženými v nabídkách dodavatelů, zadavatel je oprávněn vyjasnit si tento rozpor postupem předepsaným v § 46 ZZVZ. Takový postup pak nebude považován za změnu nabídky.</w:t>
      </w:r>
    </w:p>
    <w:p w14:paraId="32EACA0B" w14:textId="33669886" w:rsidR="0070236E" w:rsidRDefault="0070236E" w:rsidP="0070236E">
      <w:pPr>
        <w:pStyle w:val="Styl11"/>
        <w:numPr>
          <w:ilvl w:val="1"/>
          <w:numId w:val="1"/>
        </w:numPr>
        <w:ind w:left="709" w:hanging="709"/>
      </w:pPr>
      <w:r w:rsidRPr="0070236E">
        <w:t>V případě, že zadávací dokumentace včetně všech příloh obsahuje odkazy na obchodní firmy, názvy nebo jména a příjmení či specifická označení zboží a služeb, které platí pro určitou osobu, popřípadě její organizační složku za příznačné, patenty na vynálezy, užitné vzory, průmyslové vzory, ochranné známky nebo označení původu, jedná se pouze o vymezení požadovaného standardu kompatibility odůvodněného zadavatelem používanými systémy. Zadavatel v takovém případě umožňuje pro plnění veřejné zakázky použití i jiných, kvalitativně a technicky obdobných řešení, pokud bude zajištěna plná kompatibilita ve smyslu uvedeného standardu.</w:t>
      </w:r>
    </w:p>
    <w:p w14:paraId="18325687" w14:textId="77777777" w:rsidR="002B64AE" w:rsidRDefault="002B64AE" w:rsidP="002B64AE">
      <w:pPr>
        <w:pStyle w:val="Styl11"/>
        <w:numPr>
          <w:ilvl w:val="1"/>
          <w:numId w:val="1"/>
        </w:numPr>
        <w:ind w:left="709" w:hanging="709"/>
      </w:pPr>
      <w:r>
        <w:t>Dodavatel</w:t>
      </w:r>
      <w:r w:rsidRPr="005C6655">
        <w:t xml:space="preserve"> nemá právo na náhrad</w:t>
      </w:r>
      <w:r>
        <w:t>u nákladů spojených s účastí v zadávacím</w:t>
      </w:r>
      <w:r w:rsidRPr="005C6655">
        <w:t xml:space="preserve"> řízení.</w:t>
      </w:r>
    </w:p>
    <w:p w14:paraId="5E2E48D7" w14:textId="77777777" w:rsidR="002B64AE" w:rsidRPr="005C6655" w:rsidRDefault="002B64AE" w:rsidP="002B64AE">
      <w:pPr>
        <w:pStyle w:val="Styl11"/>
        <w:numPr>
          <w:ilvl w:val="1"/>
          <w:numId w:val="1"/>
        </w:numPr>
        <w:ind w:left="709" w:hanging="709"/>
      </w:pPr>
      <w:r w:rsidRPr="005C6655">
        <w:t xml:space="preserve">Nabídky se </w:t>
      </w:r>
      <w:r>
        <w:t xml:space="preserve">dodavatelům </w:t>
      </w:r>
      <w:r w:rsidRPr="005C6655">
        <w:t>nevracejí a zůstávají zadavateli jako součást dokumentace o</w:t>
      </w:r>
      <w:r>
        <w:t> </w:t>
      </w:r>
      <w:r w:rsidRPr="005C6655">
        <w:t xml:space="preserve">zadání </w:t>
      </w:r>
      <w:r>
        <w:t xml:space="preserve">veřejné </w:t>
      </w:r>
      <w:r w:rsidRPr="005C6655">
        <w:t>zakázky.</w:t>
      </w:r>
    </w:p>
    <w:p w14:paraId="30AD4B1B" w14:textId="77777777" w:rsidR="002B64AE" w:rsidRPr="005C6655" w:rsidRDefault="002B64AE" w:rsidP="002B64AE">
      <w:pPr>
        <w:pStyle w:val="Styl11"/>
        <w:numPr>
          <w:ilvl w:val="1"/>
          <w:numId w:val="1"/>
        </w:numPr>
        <w:ind w:left="709" w:hanging="709"/>
      </w:pPr>
      <w:r w:rsidRPr="005C6655">
        <w:t xml:space="preserve">Zadavatel si vyhrazuje právo ověřit informace obsažené v nabídce </w:t>
      </w:r>
      <w:r>
        <w:t xml:space="preserve">dodavatele </w:t>
      </w:r>
      <w:r w:rsidRPr="005C6655">
        <w:t>u třetích osob.</w:t>
      </w:r>
    </w:p>
    <w:p w14:paraId="03270CF9" w14:textId="77777777" w:rsidR="002B64AE" w:rsidRDefault="002B64AE" w:rsidP="002B64AE">
      <w:pPr>
        <w:pStyle w:val="Styl11"/>
        <w:numPr>
          <w:ilvl w:val="1"/>
          <w:numId w:val="1"/>
        </w:numPr>
        <w:ind w:left="709" w:hanging="709"/>
      </w:pPr>
      <w:r>
        <w:t>Dodavatel</w:t>
      </w:r>
      <w:r w:rsidRPr="005C6655">
        <w:t xml:space="preserve"> je povinen na žádost zadavatele či příslušného kontrolního orgánu poskytnout jako osoba povinná součinnost při výkonu finanční kontroly (viz § 2 písm. e) zákona č. 320/2001 Sb., o finanční kontrole ve veřejné správě</w:t>
      </w:r>
      <w:r>
        <w:t xml:space="preserve"> a o změně některých zákonů </w:t>
      </w:r>
      <w:r w:rsidRPr="00EB05BD">
        <w:t>(zákon o</w:t>
      </w:r>
      <w:r>
        <w:t> </w:t>
      </w:r>
      <w:r w:rsidRPr="00EB05BD">
        <w:t>finanční kontrole)</w:t>
      </w:r>
      <w:r w:rsidRPr="005C6655">
        <w:t>, ve znění pozdějších předpisů).</w:t>
      </w:r>
    </w:p>
    <w:p w14:paraId="49FD33EB" w14:textId="3B64BD27" w:rsidR="00B141D1" w:rsidRDefault="00B141D1" w:rsidP="00B141D1">
      <w:pPr>
        <w:pStyle w:val="Styl11"/>
        <w:numPr>
          <w:ilvl w:val="1"/>
          <w:numId w:val="1"/>
        </w:numPr>
        <w:ind w:left="709" w:hanging="709"/>
      </w:pPr>
      <w:r w:rsidRPr="00B141D1">
        <w:lastRenderedPageBreak/>
        <w:t>Jednotliví dodavatelé jsou povinni zdržet se jakýchkoli jednání, která by mohla narušit transparentní a nediskriminační průběh výběrového řízení, zejména pak jednání, v jejichž důsledku by mohlo dojít k narušení soutěže mezi dodavateli v rámci zadání veřejné zakázky.</w:t>
      </w:r>
    </w:p>
    <w:p w14:paraId="0C296ED9" w14:textId="77777777" w:rsidR="002B64AE" w:rsidRPr="005C6655" w:rsidRDefault="002B64AE" w:rsidP="002B64AE">
      <w:pPr>
        <w:pStyle w:val="Styl11"/>
        <w:numPr>
          <w:ilvl w:val="1"/>
          <w:numId w:val="1"/>
        </w:numPr>
        <w:ind w:left="709" w:hanging="709"/>
      </w:pPr>
      <w:r>
        <w:t>Dodavatel</w:t>
      </w:r>
      <w:r w:rsidRPr="005C6655">
        <w:t xml:space="preserve"> je povinen poskytnout zadavateli veškeré podklady související s realizací projektu a</w:t>
      </w:r>
      <w:r>
        <w:t> </w:t>
      </w:r>
      <w:r w:rsidRPr="005C6655">
        <w:t>plněním monitorovacích ukazatelů vyžádaných kontrolními orgány.</w:t>
      </w:r>
    </w:p>
    <w:p w14:paraId="2C8E2BC4" w14:textId="77777777" w:rsidR="002B64AE" w:rsidRDefault="002B64AE" w:rsidP="002B64AE">
      <w:pPr>
        <w:pStyle w:val="Styl11"/>
        <w:numPr>
          <w:ilvl w:val="1"/>
          <w:numId w:val="1"/>
        </w:numPr>
        <w:ind w:left="709" w:hanging="709"/>
      </w:pPr>
      <w:r w:rsidRPr="00385D5A">
        <w:t>Zadavate</w:t>
      </w:r>
      <w:r>
        <w:t>l nepřipouští podat variantní nabídku.</w:t>
      </w:r>
    </w:p>
    <w:p w14:paraId="6531B9C3" w14:textId="77777777" w:rsidR="002B64AE" w:rsidRPr="005C6655" w:rsidRDefault="002B64AE" w:rsidP="002B64AE">
      <w:pPr>
        <w:pStyle w:val="Styl11"/>
        <w:numPr>
          <w:ilvl w:val="1"/>
          <w:numId w:val="1"/>
        </w:numPr>
        <w:ind w:left="709" w:hanging="709"/>
      </w:pPr>
      <w:r w:rsidRPr="00615331">
        <w:t>Zadavatel prohlašuje, že při tvorbě zadávací dokumentace se zdržel jakéhokoli jednání, jež by mohlo vést ke střetu zájmů.</w:t>
      </w:r>
    </w:p>
    <w:p w14:paraId="57A9698E" w14:textId="507AA809" w:rsidR="00634C3C" w:rsidRPr="00DF5623" w:rsidRDefault="00634C3C" w:rsidP="00634C3C">
      <w:pPr>
        <w:pStyle w:val="Nadpis1"/>
        <w:rPr>
          <w:lang w:eastAsia="cs-CZ"/>
        </w:rPr>
      </w:pPr>
      <w:r w:rsidRPr="00DF5623">
        <w:rPr>
          <w:lang w:eastAsia="cs-CZ"/>
        </w:rPr>
        <w:t>Přílohy zadávací dokumentace</w:t>
      </w:r>
    </w:p>
    <w:p w14:paraId="0037980D" w14:textId="77777777" w:rsidR="005A0709" w:rsidRPr="00234BC9" w:rsidRDefault="005A0709" w:rsidP="005A0709">
      <w:pPr>
        <w:pStyle w:val="Seznamploh"/>
        <w:rPr>
          <w:b/>
        </w:rPr>
      </w:pPr>
      <w:r w:rsidRPr="003D2C45">
        <w:rPr>
          <w:b/>
          <w:bCs/>
        </w:rPr>
        <w:t xml:space="preserve">Příloha č. 1: </w:t>
      </w:r>
      <w:r w:rsidRPr="003D2C45">
        <w:rPr>
          <w:b/>
          <w:bCs/>
        </w:rPr>
        <w:tab/>
      </w:r>
      <w:r w:rsidRPr="00234BC9">
        <w:rPr>
          <w:b/>
        </w:rPr>
        <w:t xml:space="preserve">Návrh </w:t>
      </w:r>
      <w:r>
        <w:rPr>
          <w:b/>
        </w:rPr>
        <w:t>Rámcové dohody</w:t>
      </w:r>
    </w:p>
    <w:p w14:paraId="6FD0CA57" w14:textId="77777777" w:rsidR="005A0709" w:rsidRPr="00234BC9" w:rsidRDefault="005A0709" w:rsidP="005A0709">
      <w:pPr>
        <w:pStyle w:val="Seznamploh"/>
        <w:rPr>
          <w:b/>
        </w:rPr>
      </w:pPr>
      <w:r w:rsidRPr="003D2C45">
        <w:rPr>
          <w:b/>
          <w:bCs/>
        </w:rPr>
        <w:t>Příloha č. 2:</w:t>
      </w:r>
      <w:r w:rsidRPr="003D2C45">
        <w:rPr>
          <w:b/>
          <w:bCs/>
        </w:rPr>
        <w:tab/>
      </w:r>
      <w:r w:rsidRPr="00974B53">
        <w:rPr>
          <w:b/>
        </w:rPr>
        <w:t>Technická specifikace</w:t>
      </w:r>
    </w:p>
    <w:p w14:paraId="37EF5E79" w14:textId="77777777" w:rsidR="005A0709" w:rsidRPr="00263980" w:rsidRDefault="005A0709" w:rsidP="005A0709">
      <w:pPr>
        <w:keepNext/>
        <w:tabs>
          <w:tab w:val="left" w:pos="1418"/>
        </w:tabs>
        <w:ind w:left="1418" w:hanging="1418"/>
        <w:rPr>
          <w:b/>
          <w:bCs/>
        </w:rPr>
      </w:pPr>
      <w:r w:rsidRPr="00263980">
        <w:rPr>
          <w:b/>
          <w:bCs/>
        </w:rPr>
        <w:t xml:space="preserve">Příloha č. </w:t>
      </w:r>
      <w:r>
        <w:rPr>
          <w:b/>
          <w:bCs/>
        </w:rPr>
        <w:t>3:</w:t>
      </w:r>
      <w:r w:rsidRPr="00263980">
        <w:rPr>
          <w:b/>
          <w:bCs/>
        </w:rPr>
        <w:t xml:space="preserve"> </w:t>
      </w:r>
      <w:r w:rsidRPr="00263980">
        <w:rPr>
          <w:b/>
          <w:bCs/>
        </w:rPr>
        <w:tab/>
        <w:t>Editovatelné přílohy</w:t>
      </w:r>
    </w:p>
    <w:p w14:paraId="573EE74C" w14:textId="384FF58B" w:rsidR="00634C3C" w:rsidRPr="007D3B59" w:rsidRDefault="005A0709" w:rsidP="007D3B59">
      <w:pPr>
        <w:keepNext/>
        <w:tabs>
          <w:tab w:val="left" w:pos="1418"/>
        </w:tabs>
        <w:ind w:left="1418" w:hanging="1418"/>
      </w:pPr>
      <w:r w:rsidRPr="00263980">
        <w:tab/>
      </w:r>
    </w:p>
    <w:p w14:paraId="233C320B" w14:textId="77777777" w:rsidR="00634C3C" w:rsidRPr="00634C3C" w:rsidRDefault="00634C3C" w:rsidP="00634C3C">
      <w:pPr>
        <w:rPr>
          <w:highlight w:val="yellow"/>
          <w:lang w:eastAsia="cs-CZ"/>
        </w:rPr>
      </w:pPr>
    </w:p>
    <w:p w14:paraId="0163DC37" w14:textId="22405348" w:rsidR="00DF5623" w:rsidRDefault="00DF5623" w:rsidP="00DF5623">
      <w:pPr>
        <w:rPr>
          <w:szCs w:val="22"/>
          <w:lang w:eastAsia="cs-CZ"/>
        </w:rPr>
      </w:pPr>
      <w:r w:rsidRPr="00A93BF4">
        <w:rPr>
          <w:szCs w:val="22"/>
          <w:lang w:eastAsia="cs-CZ"/>
        </w:rPr>
        <w:t xml:space="preserve">V Praze dne </w:t>
      </w:r>
    </w:p>
    <w:p w14:paraId="6F03C99A" w14:textId="77777777" w:rsidR="00DF5623" w:rsidRPr="00054E89" w:rsidRDefault="00DF5623" w:rsidP="00DF5623">
      <w:pPr>
        <w:rPr>
          <w:szCs w:val="22"/>
          <w:lang w:eastAsia="cs-CZ"/>
        </w:rPr>
      </w:pPr>
    </w:p>
    <w:p w14:paraId="063D4D55" w14:textId="77777777" w:rsidR="00B71150" w:rsidRDefault="00B71150" w:rsidP="00B71150">
      <w:r>
        <w:t xml:space="preserve">Za </w:t>
      </w:r>
      <w:r w:rsidRPr="00680BC4">
        <w:rPr>
          <w:b/>
          <w:bCs/>
        </w:rPr>
        <w:t>Fyzikální ústav AV ČR, v. v. i.</w:t>
      </w:r>
      <w:r>
        <w:t>:</w:t>
      </w:r>
    </w:p>
    <w:p w14:paraId="78CC6D06" w14:textId="77777777" w:rsidR="00B71150" w:rsidRDefault="00B71150" w:rsidP="00B71150"/>
    <w:p w14:paraId="557F7364" w14:textId="77777777" w:rsidR="00B71150" w:rsidRDefault="00B71150" w:rsidP="00B71150">
      <w:pPr>
        <w:pStyle w:val="Bezmezer"/>
      </w:pPr>
    </w:p>
    <w:p w14:paraId="3F06962F" w14:textId="77777777" w:rsidR="00B71150" w:rsidRDefault="00B71150" w:rsidP="00B71150">
      <w:pPr>
        <w:pStyle w:val="Bezmezer"/>
        <w:rPr>
          <w:b/>
          <w:bCs/>
        </w:rPr>
      </w:pPr>
    </w:p>
    <w:p w14:paraId="157AB90B" w14:textId="6DFDDCA5" w:rsidR="00B71150" w:rsidRDefault="00B71150" w:rsidP="00B71150">
      <w:pPr>
        <w:pStyle w:val="Bezmezer"/>
        <w:rPr>
          <w:b/>
          <w:bCs/>
        </w:rPr>
      </w:pPr>
      <w:r w:rsidRPr="00680BC4">
        <w:rPr>
          <w:b/>
          <w:bCs/>
        </w:rPr>
        <w:t>RNDr. Michael Prouza, Ph.D.</w:t>
      </w:r>
    </w:p>
    <w:p w14:paraId="20199C30" w14:textId="77777777" w:rsidR="00B71150" w:rsidRPr="00820F02" w:rsidRDefault="00B71150" w:rsidP="00B71150">
      <w:pPr>
        <w:pStyle w:val="Bezmezer"/>
      </w:pPr>
      <w:r>
        <w:t>ředitel</w:t>
      </w:r>
    </w:p>
    <w:p w14:paraId="3DDF61EB" w14:textId="77777777" w:rsidR="007E1AB5" w:rsidRPr="003D5114" w:rsidRDefault="007E1AB5" w:rsidP="00B71150">
      <w:pPr>
        <w:jc w:val="left"/>
        <w:rPr>
          <w:szCs w:val="22"/>
        </w:rPr>
      </w:pPr>
    </w:p>
    <w:sectPr w:rsidR="007E1AB5" w:rsidRPr="003D5114" w:rsidSect="00EA4535">
      <w:headerReference w:type="default" r:id="rId17"/>
      <w:footerReference w:type="default" r:id="rId18"/>
      <w:head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3B299" w14:textId="77777777" w:rsidR="00EF4A88" w:rsidRDefault="00EF4A88" w:rsidP="00D221E5">
      <w:pPr>
        <w:spacing w:line="240" w:lineRule="auto"/>
      </w:pPr>
      <w:r>
        <w:separator/>
      </w:r>
    </w:p>
  </w:endnote>
  <w:endnote w:type="continuationSeparator" w:id="0">
    <w:p w14:paraId="09B2AC9A" w14:textId="77777777" w:rsidR="00EF4A88" w:rsidRDefault="00EF4A88" w:rsidP="00D221E5">
      <w:pPr>
        <w:spacing w:line="240" w:lineRule="auto"/>
      </w:pPr>
      <w:r>
        <w:continuationSeparator/>
      </w:r>
    </w:p>
  </w:endnote>
  <w:endnote w:type="continuationNotice" w:id="1">
    <w:p w14:paraId="1F6D091C" w14:textId="77777777" w:rsidR="00EF4A88" w:rsidRDefault="00EF4A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743CB" w14:textId="26F51368" w:rsidR="00D221E5" w:rsidRDefault="00D221E5">
    <w:pPr>
      <w:pStyle w:val="Zpat"/>
      <w:jc w:val="center"/>
    </w:pPr>
  </w:p>
  <w:p w14:paraId="7C95E577" w14:textId="77777777" w:rsidR="00D221E5" w:rsidRDefault="00D221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F7D36" w14:textId="77777777" w:rsidR="00EF4A88" w:rsidRDefault="00EF4A88" w:rsidP="00D221E5">
      <w:pPr>
        <w:spacing w:line="240" w:lineRule="auto"/>
      </w:pPr>
      <w:r>
        <w:separator/>
      </w:r>
    </w:p>
  </w:footnote>
  <w:footnote w:type="continuationSeparator" w:id="0">
    <w:p w14:paraId="74A36C81" w14:textId="77777777" w:rsidR="00EF4A88" w:rsidRDefault="00EF4A88" w:rsidP="00D221E5">
      <w:pPr>
        <w:spacing w:line="240" w:lineRule="auto"/>
      </w:pPr>
      <w:r>
        <w:continuationSeparator/>
      </w:r>
    </w:p>
  </w:footnote>
  <w:footnote w:type="continuationNotice" w:id="1">
    <w:p w14:paraId="10921546" w14:textId="77777777" w:rsidR="00EF4A88" w:rsidRDefault="00EF4A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D64FD" w14:textId="5A9D7C77" w:rsidR="00621C25" w:rsidRDefault="0016368A">
    <w:pPr>
      <w:pStyle w:val="Zhlav"/>
      <w:jc w:val="center"/>
    </w:pPr>
    <w:r>
      <w:rPr>
        <w:noProof/>
        <w:lang w:eastAsia="cs-CZ"/>
      </w:rPr>
      <w:drawing>
        <wp:anchor distT="0" distB="0" distL="114300" distR="114300" simplePos="0" relativeHeight="251661312" behindDoc="1" locked="0" layoutInCell="1" allowOverlap="1" wp14:anchorId="66BCBFA3" wp14:editId="5E84EF68">
          <wp:simplePos x="0" y="0"/>
          <wp:positionH relativeFrom="margin">
            <wp:posOffset>-606497</wp:posOffset>
          </wp:positionH>
          <wp:positionV relativeFrom="page">
            <wp:posOffset>103517</wp:posOffset>
          </wp:positionV>
          <wp:extent cx="6975726" cy="10489146"/>
          <wp:effectExtent l="0" t="0" r="0" b="7620"/>
          <wp:wrapNone/>
          <wp:docPr id="4" name="Obrázek 4" descr="HiLASE_hl.papir_20180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201803072.jpg"/>
                  <pic:cNvPicPr/>
                </pic:nvPicPr>
                <pic:blipFill>
                  <a:blip r:embed="rId1"/>
                  <a:srcRect l="3810" t="2694" r="3810" b="2357"/>
                  <a:stretch>
                    <a:fillRect/>
                  </a:stretch>
                </pic:blipFill>
                <pic:spPr>
                  <a:xfrm>
                    <a:off x="0" y="0"/>
                    <a:ext cx="6981651" cy="10498056"/>
                  </a:xfrm>
                  <a:prstGeom prst="rect">
                    <a:avLst/>
                  </a:prstGeom>
                </pic:spPr>
              </pic:pic>
            </a:graphicData>
          </a:graphic>
          <wp14:sizeRelV relativeFrom="margin">
            <wp14:pctHeight>0</wp14:pctHeight>
          </wp14:sizeRelV>
        </wp:anchor>
      </w:drawing>
    </w:r>
  </w:p>
  <w:p w14:paraId="1E859617" w14:textId="487D4859" w:rsidR="00325B7B" w:rsidRDefault="00325B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6FDBB" w14:textId="49E11E4B" w:rsidR="009C1240" w:rsidRDefault="009C1240">
    <w:pPr>
      <w:pStyle w:val="Zhlav"/>
    </w:pPr>
    <w:r w:rsidRPr="00231317">
      <w:rPr>
        <w:noProof/>
        <w:lang w:eastAsia="cs-CZ"/>
      </w:rPr>
      <w:drawing>
        <wp:anchor distT="0" distB="0" distL="114300" distR="114300" simplePos="0" relativeHeight="251659264" behindDoc="1" locked="0" layoutInCell="1" allowOverlap="1" wp14:anchorId="5C53F7EA" wp14:editId="3F506BBF">
          <wp:simplePos x="0" y="0"/>
          <wp:positionH relativeFrom="page">
            <wp:posOffset>55509</wp:posOffset>
          </wp:positionH>
          <wp:positionV relativeFrom="page">
            <wp:posOffset>0</wp:posOffset>
          </wp:positionV>
          <wp:extent cx="7444130" cy="10529179"/>
          <wp:effectExtent l="0" t="0" r="4445" b="5715"/>
          <wp:wrapNone/>
          <wp:docPr id="1" name="Obrázek 1" descr="Obsah obrázku text,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nímek obrazovky&#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444130" cy="10529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8565C"/>
    <w:multiLevelType w:val="multilevel"/>
    <w:tmpl w:val="3C52A5F6"/>
    <w:lvl w:ilvl="0">
      <w:start w:val="1"/>
      <w:numFmt w:val="decimal"/>
      <w:lvlText w:val="%1."/>
      <w:lvlJc w:val="left"/>
      <w:pPr>
        <w:ind w:left="360" w:hanging="360"/>
      </w:pPr>
      <w:rPr>
        <w:rFonts w:cs="Times New Roman" w:hint="default"/>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432" w:hanging="432"/>
      </w:pPr>
      <w:rPr>
        <w:rFonts w:asciiTheme="minorHAnsi" w:hAnsiTheme="minorHAnsi" w:cstheme="minorHAnsi" w:hint="default"/>
        <w:b w:val="0"/>
        <w:bCs w:val="0"/>
        <w:i w:val="0"/>
        <w:color w:val="auto"/>
      </w:rPr>
    </w:lvl>
    <w:lvl w:ilvl="2">
      <w:start w:val="1"/>
      <w:numFmt w:val="decimal"/>
      <w:lvlText w:val="%1.%2.%3."/>
      <w:lvlJc w:val="left"/>
      <w:pPr>
        <w:ind w:left="1214" w:hanging="504"/>
      </w:pPr>
      <w:rPr>
        <w:rFonts w:ascii="Arial" w:hAnsi="Arial" w:cs="Arial" w:hint="default"/>
        <w:i w:val="0"/>
        <w:sz w:val="20"/>
        <w:szCs w:val="20"/>
      </w:rPr>
    </w:lvl>
    <w:lvl w:ilvl="3">
      <w:start w:val="1"/>
      <w:numFmt w:val="decimal"/>
      <w:lvlText w:val="%1.%2.%3.%4."/>
      <w:lvlJc w:val="left"/>
      <w:pPr>
        <w:ind w:left="1728" w:hanging="648"/>
      </w:pPr>
      <w:rPr>
        <w:rFonts w:cs="Times New Roman" w:hint="default"/>
      </w:rPr>
    </w:lvl>
    <w:lvl w:ilvl="4">
      <w:start w:val="1"/>
      <w:numFmt w:val="bullet"/>
      <w:lvlText w:val=""/>
      <w:lvlJc w:val="left"/>
      <w:pPr>
        <w:ind w:left="1800" w:hanging="360"/>
      </w:pPr>
      <w:rPr>
        <w:rFonts w:ascii="Symbol" w:hAnsi="Symbol" w:hint="default"/>
        <w:color w:val="00B0F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2C6858F4"/>
    <w:multiLevelType w:val="hybridMultilevel"/>
    <w:tmpl w:val="B9E05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695A87"/>
    <w:multiLevelType w:val="hybridMultilevel"/>
    <w:tmpl w:val="07A0D7C2"/>
    <w:lvl w:ilvl="0" w:tplc="E5DE1316">
      <w:start w:val="1"/>
      <w:numFmt w:val="bullet"/>
      <w:lvlText w:val=""/>
      <w:lvlJc w:val="left"/>
      <w:pPr>
        <w:ind w:left="1287" w:hanging="360"/>
      </w:pPr>
      <w:rPr>
        <w:rFonts w:ascii="Symbol" w:hAnsi="Symbol" w:hint="default"/>
        <w:color w:val="00B0F0"/>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37480469"/>
    <w:multiLevelType w:val="multilevel"/>
    <w:tmpl w:val="E4BA3C38"/>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42A44B3B"/>
    <w:multiLevelType w:val="hybridMultilevel"/>
    <w:tmpl w:val="C9344E9A"/>
    <w:lvl w:ilvl="0" w:tplc="04050005">
      <w:start w:val="1"/>
      <w:numFmt w:val="bullet"/>
      <w:lvlText w:val=""/>
      <w:lvlJc w:val="left"/>
      <w:pPr>
        <w:ind w:left="720" w:hanging="360"/>
      </w:pPr>
      <w:rPr>
        <w:rFonts w:ascii="Wingdings" w:hAnsi="Wingdings" w:hint="default"/>
        <w:color w:val="0B91D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349162E"/>
    <w:multiLevelType w:val="hybridMultilevel"/>
    <w:tmpl w:val="E0B8715E"/>
    <w:lvl w:ilvl="0" w:tplc="DA50EB4E">
      <w:start w:val="1"/>
      <w:numFmt w:val="bullet"/>
      <w:lvlText w:val=""/>
      <w:lvlJc w:val="left"/>
      <w:pPr>
        <w:ind w:left="1850" w:hanging="360"/>
      </w:pPr>
      <w:rPr>
        <w:rFonts w:ascii="Wingdings" w:hAnsi="Wingdings" w:hint="default"/>
        <w:color w:val="auto"/>
      </w:rPr>
    </w:lvl>
    <w:lvl w:ilvl="1" w:tplc="FFFFFFFF" w:tentative="1">
      <w:start w:val="1"/>
      <w:numFmt w:val="lowerLetter"/>
      <w:lvlText w:val="%2."/>
      <w:lvlJc w:val="left"/>
      <w:pPr>
        <w:ind w:left="2570" w:hanging="360"/>
      </w:pPr>
    </w:lvl>
    <w:lvl w:ilvl="2" w:tplc="FFFFFFFF" w:tentative="1">
      <w:start w:val="1"/>
      <w:numFmt w:val="lowerRoman"/>
      <w:lvlText w:val="%3."/>
      <w:lvlJc w:val="right"/>
      <w:pPr>
        <w:ind w:left="3290" w:hanging="180"/>
      </w:pPr>
    </w:lvl>
    <w:lvl w:ilvl="3" w:tplc="FFFFFFFF" w:tentative="1">
      <w:start w:val="1"/>
      <w:numFmt w:val="decimal"/>
      <w:lvlText w:val="%4."/>
      <w:lvlJc w:val="left"/>
      <w:pPr>
        <w:ind w:left="4010" w:hanging="360"/>
      </w:pPr>
    </w:lvl>
    <w:lvl w:ilvl="4" w:tplc="FFFFFFFF" w:tentative="1">
      <w:start w:val="1"/>
      <w:numFmt w:val="lowerLetter"/>
      <w:lvlText w:val="%5."/>
      <w:lvlJc w:val="left"/>
      <w:pPr>
        <w:ind w:left="4730" w:hanging="360"/>
      </w:pPr>
    </w:lvl>
    <w:lvl w:ilvl="5" w:tplc="FFFFFFFF" w:tentative="1">
      <w:start w:val="1"/>
      <w:numFmt w:val="lowerRoman"/>
      <w:lvlText w:val="%6."/>
      <w:lvlJc w:val="right"/>
      <w:pPr>
        <w:ind w:left="5450" w:hanging="180"/>
      </w:pPr>
    </w:lvl>
    <w:lvl w:ilvl="6" w:tplc="FFFFFFFF" w:tentative="1">
      <w:start w:val="1"/>
      <w:numFmt w:val="decimal"/>
      <w:lvlText w:val="%7."/>
      <w:lvlJc w:val="left"/>
      <w:pPr>
        <w:ind w:left="6170" w:hanging="360"/>
      </w:pPr>
    </w:lvl>
    <w:lvl w:ilvl="7" w:tplc="FFFFFFFF" w:tentative="1">
      <w:start w:val="1"/>
      <w:numFmt w:val="lowerLetter"/>
      <w:lvlText w:val="%8."/>
      <w:lvlJc w:val="left"/>
      <w:pPr>
        <w:ind w:left="6890" w:hanging="360"/>
      </w:pPr>
    </w:lvl>
    <w:lvl w:ilvl="8" w:tplc="FFFFFFFF" w:tentative="1">
      <w:start w:val="1"/>
      <w:numFmt w:val="lowerRoman"/>
      <w:lvlText w:val="%9."/>
      <w:lvlJc w:val="right"/>
      <w:pPr>
        <w:ind w:left="7610" w:hanging="180"/>
      </w:pPr>
    </w:lvl>
  </w:abstractNum>
  <w:abstractNum w:abstractNumId="6" w15:restartNumberingAfterBreak="0">
    <w:nsid w:val="567349D5"/>
    <w:multiLevelType w:val="hybridMultilevel"/>
    <w:tmpl w:val="F33ABDBC"/>
    <w:lvl w:ilvl="0" w:tplc="E00A625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7B5624"/>
    <w:multiLevelType w:val="multilevel"/>
    <w:tmpl w:val="89D0555E"/>
    <w:lvl w:ilvl="0">
      <w:start w:val="1"/>
      <w:numFmt w:val="decimal"/>
      <w:lvlText w:val="%1."/>
      <w:lvlJc w:val="left"/>
      <w:pPr>
        <w:ind w:left="567" w:hanging="567"/>
      </w:pPr>
      <w:rPr>
        <w:rFonts w:hint="default"/>
        <w:i w:val="0"/>
        <w:iCs w:val="0"/>
        <w:smallCaps w:val="0"/>
        <w:strike w:val="0"/>
        <w:dstrike w:val="0"/>
        <w:noProof w:val="0"/>
        <w:vanish w:val="0"/>
        <w:color w:val="0B91D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lowerRoman"/>
      <w:lvlRestart w:val="2"/>
      <w:lvlText w:val="%4."/>
      <w:lvlJc w:val="left"/>
      <w:pPr>
        <w:tabs>
          <w:tab w:val="num" w:pos="567"/>
        </w:tabs>
        <w:ind w:left="851" w:hanging="284"/>
      </w:pPr>
      <w:rPr>
        <w:rFonts w:hint="default"/>
      </w:rPr>
    </w:lvl>
    <w:lvl w:ilvl="4">
      <w:start w:val="1"/>
      <w:numFmt w:val="bullet"/>
      <w:lvlRestart w:val="2"/>
      <w:lvlText w:val=""/>
      <w:lvlJc w:val="left"/>
      <w:pPr>
        <w:ind w:left="851" w:hanging="284"/>
      </w:pPr>
      <w:rPr>
        <w:rFonts w:ascii="Wingdings" w:hAnsi="Wingdings" w:hint="default"/>
        <w:color w:val="0B91D0"/>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39067AD"/>
    <w:multiLevelType w:val="hybridMultilevel"/>
    <w:tmpl w:val="A39AFC4C"/>
    <w:lvl w:ilvl="0" w:tplc="9376B2E6">
      <w:start w:val="1"/>
      <w:numFmt w:val="lowerLetter"/>
      <w:pStyle w:val="Psmena"/>
      <w:lvlText w:val="%1)"/>
      <w:lvlJc w:val="left"/>
      <w:pPr>
        <w:ind w:left="107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65BF0C04"/>
    <w:multiLevelType w:val="hybridMultilevel"/>
    <w:tmpl w:val="CC70A33A"/>
    <w:lvl w:ilvl="0" w:tplc="6B040318">
      <w:start w:val="1"/>
      <w:numFmt w:val="decimal"/>
      <w:pStyle w:val="sla"/>
      <w:lvlText w:val="%1."/>
      <w:lvlJc w:val="left"/>
      <w:pPr>
        <w:ind w:left="3479" w:hanging="360"/>
      </w:pPr>
      <w:rPr>
        <w:rFonts w:cs="Times New Roman"/>
      </w:rPr>
    </w:lvl>
    <w:lvl w:ilvl="1" w:tplc="04050019">
      <w:start w:val="1"/>
      <w:numFmt w:val="lowerLetter"/>
      <w:lvlText w:val="%2."/>
      <w:lvlJc w:val="left"/>
      <w:pPr>
        <w:ind w:left="4199" w:hanging="360"/>
      </w:pPr>
      <w:rPr>
        <w:rFonts w:cs="Times New Roman"/>
      </w:rPr>
    </w:lvl>
    <w:lvl w:ilvl="2" w:tplc="0405001B">
      <w:start w:val="1"/>
      <w:numFmt w:val="lowerRoman"/>
      <w:lvlText w:val="%3."/>
      <w:lvlJc w:val="right"/>
      <w:pPr>
        <w:ind w:left="4919" w:hanging="180"/>
      </w:pPr>
      <w:rPr>
        <w:rFonts w:cs="Times New Roman"/>
      </w:rPr>
    </w:lvl>
    <w:lvl w:ilvl="3" w:tplc="0405000F">
      <w:start w:val="1"/>
      <w:numFmt w:val="decimal"/>
      <w:lvlText w:val="%4."/>
      <w:lvlJc w:val="left"/>
      <w:pPr>
        <w:ind w:left="5639" w:hanging="360"/>
      </w:pPr>
      <w:rPr>
        <w:rFonts w:cs="Times New Roman"/>
      </w:rPr>
    </w:lvl>
    <w:lvl w:ilvl="4" w:tplc="04050019">
      <w:start w:val="1"/>
      <w:numFmt w:val="lowerLetter"/>
      <w:lvlText w:val="%5."/>
      <w:lvlJc w:val="left"/>
      <w:pPr>
        <w:ind w:left="6359" w:hanging="360"/>
      </w:pPr>
      <w:rPr>
        <w:rFonts w:cs="Times New Roman"/>
      </w:rPr>
    </w:lvl>
    <w:lvl w:ilvl="5" w:tplc="0405001B">
      <w:start w:val="1"/>
      <w:numFmt w:val="lowerRoman"/>
      <w:lvlText w:val="%6."/>
      <w:lvlJc w:val="right"/>
      <w:pPr>
        <w:ind w:left="7079" w:hanging="180"/>
      </w:pPr>
      <w:rPr>
        <w:rFonts w:cs="Times New Roman"/>
      </w:rPr>
    </w:lvl>
    <w:lvl w:ilvl="6" w:tplc="0405000F">
      <w:start w:val="1"/>
      <w:numFmt w:val="decimal"/>
      <w:lvlText w:val="%7."/>
      <w:lvlJc w:val="left"/>
      <w:pPr>
        <w:ind w:left="7799" w:hanging="360"/>
      </w:pPr>
      <w:rPr>
        <w:rFonts w:cs="Times New Roman"/>
      </w:rPr>
    </w:lvl>
    <w:lvl w:ilvl="7" w:tplc="04050019">
      <w:start w:val="1"/>
      <w:numFmt w:val="lowerLetter"/>
      <w:lvlText w:val="%8."/>
      <w:lvlJc w:val="left"/>
      <w:pPr>
        <w:ind w:left="8519" w:hanging="360"/>
      </w:pPr>
      <w:rPr>
        <w:rFonts w:cs="Times New Roman"/>
      </w:rPr>
    </w:lvl>
    <w:lvl w:ilvl="8" w:tplc="0405001B">
      <w:start w:val="1"/>
      <w:numFmt w:val="lowerRoman"/>
      <w:lvlText w:val="%9."/>
      <w:lvlJc w:val="right"/>
      <w:pPr>
        <w:ind w:left="9239" w:hanging="180"/>
      </w:pPr>
      <w:rPr>
        <w:rFonts w:cs="Times New Roman"/>
      </w:rPr>
    </w:lvl>
  </w:abstractNum>
  <w:abstractNum w:abstractNumId="10" w15:restartNumberingAfterBreak="0">
    <w:nsid w:val="6A896062"/>
    <w:multiLevelType w:val="multilevel"/>
    <w:tmpl w:val="CBFE6C46"/>
    <w:lvl w:ilvl="0">
      <w:start w:val="1"/>
      <w:numFmt w:val="decimal"/>
      <w:lvlText w:val="%1."/>
      <w:lvlJc w:val="left"/>
      <w:pPr>
        <w:ind w:left="1211" w:hanging="360"/>
      </w:pPr>
      <w:rPr>
        <w:rFonts w:cs="Times New Roman" w:hint="default"/>
        <w:b/>
        <w:bCs/>
        <w:i w:val="0"/>
        <w:iCs w:val="0"/>
        <w:caps w:val="0"/>
        <w:smallCaps w:val="0"/>
        <w:strike w:val="0"/>
        <w:dstrike w:val="0"/>
        <w:vanish w:val="0"/>
        <w:spacing w:val="0"/>
        <w:kern w:val="0"/>
        <w:position w:val="0"/>
        <w:u w:val="none"/>
        <w:vertAlign w:val="baseline"/>
      </w:rPr>
    </w:lvl>
    <w:lvl w:ilvl="1">
      <w:start w:val="1"/>
      <w:numFmt w:val="bullet"/>
      <w:lvlText w:val=""/>
      <w:lvlJc w:val="left"/>
      <w:pPr>
        <w:ind w:left="1567" w:hanging="432"/>
      </w:pPr>
      <w:rPr>
        <w:rFonts w:ascii="Wingdings" w:hAnsi="Wingdings" w:hint="default"/>
        <w:b w:val="0"/>
        <w:bCs w:val="0"/>
        <w:i w:val="0"/>
        <w:color w:val="0B91D0"/>
      </w:rPr>
    </w:lvl>
    <w:lvl w:ilvl="2">
      <w:start w:val="1"/>
      <w:numFmt w:val="decimal"/>
      <w:lvlText w:val="%1.%2.%3."/>
      <w:lvlJc w:val="left"/>
      <w:pPr>
        <w:ind w:left="1214" w:hanging="504"/>
      </w:pPr>
      <w:rPr>
        <w:rFonts w:ascii="Arial" w:hAnsi="Arial" w:cs="Arial" w:hint="default"/>
        <w:i w:val="0"/>
        <w:sz w:val="20"/>
        <w:szCs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6AAA75E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C1E13BA"/>
    <w:multiLevelType w:val="hybridMultilevel"/>
    <w:tmpl w:val="D8249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C490650"/>
    <w:multiLevelType w:val="multilevel"/>
    <w:tmpl w:val="321CC252"/>
    <w:lvl w:ilvl="0">
      <w:start w:val="1"/>
      <w:numFmt w:val="decimal"/>
      <w:pStyle w:val="Nadpis1"/>
      <w:lvlText w:val="%1."/>
      <w:lvlJc w:val="left"/>
      <w:pPr>
        <w:ind w:left="360" w:hanging="360"/>
      </w:pPr>
      <w:rPr>
        <w:rFonts w:cs="Times New Roman" w:hint="default"/>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432" w:hanging="432"/>
      </w:pPr>
      <w:rPr>
        <w:rFonts w:asciiTheme="minorHAnsi" w:hAnsiTheme="minorHAnsi" w:cstheme="minorHAnsi" w:hint="default"/>
        <w:b w:val="0"/>
        <w:bCs w:val="0"/>
        <w:i w:val="0"/>
        <w:color w:val="auto"/>
      </w:rPr>
    </w:lvl>
    <w:lvl w:ilvl="2">
      <w:start w:val="1"/>
      <w:numFmt w:val="decimal"/>
      <w:pStyle w:val="Styl2"/>
      <w:lvlText w:val="%1.%2.%3."/>
      <w:lvlJc w:val="left"/>
      <w:pPr>
        <w:ind w:left="1214" w:hanging="504"/>
      </w:pPr>
      <w:rPr>
        <w:rFonts w:ascii="Arial" w:hAnsi="Arial" w:cs="Arial" w:hint="default"/>
        <w:i w:val="0"/>
        <w:sz w:val="20"/>
        <w:szCs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2063938209">
    <w:abstractNumId w:val="13"/>
  </w:num>
  <w:num w:numId="2" w16cid:durableId="1109931960">
    <w:abstractNumId w:val="12"/>
  </w:num>
  <w:num w:numId="3" w16cid:durableId="1196577072">
    <w:abstractNumId w:val="7"/>
  </w:num>
  <w:num w:numId="4" w16cid:durableId="906232977">
    <w:abstractNumId w:val="13"/>
  </w:num>
  <w:num w:numId="5" w16cid:durableId="16860543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1831726">
    <w:abstractNumId w:val="8"/>
  </w:num>
  <w:num w:numId="7" w16cid:durableId="286549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079468">
    <w:abstractNumId w:val="3"/>
  </w:num>
  <w:num w:numId="9" w16cid:durableId="1152601045">
    <w:abstractNumId w:val="2"/>
  </w:num>
  <w:num w:numId="10" w16cid:durableId="841164261">
    <w:abstractNumId w:val="8"/>
    <w:lvlOverride w:ilvl="0">
      <w:startOverride w:val="1"/>
    </w:lvlOverride>
  </w:num>
  <w:num w:numId="11" w16cid:durableId="1145467079">
    <w:abstractNumId w:val="4"/>
  </w:num>
  <w:num w:numId="12" w16cid:durableId="1170828597">
    <w:abstractNumId w:val="10"/>
  </w:num>
  <w:num w:numId="13" w16cid:durableId="775750471">
    <w:abstractNumId w:val="13"/>
  </w:num>
  <w:num w:numId="14" w16cid:durableId="386950824">
    <w:abstractNumId w:val="1"/>
  </w:num>
  <w:num w:numId="15" w16cid:durableId="2056806271">
    <w:abstractNumId w:val="5"/>
  </w:num>
  <w:num w:numId="16" w16cid:durableId="1056053369">
    <w:abstractNumId w:val="11"/>
  </w:num>
  <w:num w:numId="17" w16cid:durableId="1241479949">
    <w:abstractNumId w:val="13"/>
  </w:num>
  <w:num w:numId="18" w16cid:durableId="1577091070">
    <w:abstractNumId w:val="13"/>
  </w:num>
  <w:num w:numId="19" w16cid:durableId="1539316395">
    <w:abstractNumId w:val="13"/>
  </w:num>
  <w:num w:numId="20" w16cid:durableId="2133550818">
    <w:abstractNumId w:val="13"/>
  </w:num>
  <w:num w:numId="21" w16cid:durableId="371852330">
    <w:abstractNumId w:val="6"/>
  </w:num>
  <w:num w:numId="22" w16cid:durableId="2062560288">
    <w:abstractNumId w:val="13"/>
  </w:num>
  <w:num w:numId="23" w16cid:durableId="1182936099">
    <w:abstractNumId w:val="13"/>
  </w:num>
  <w:num w:numId="24" w16cid:durableId="1233663089">
    <w:abstractNumId w:val="13"/>
  </w:num>
  <w:num w:numId="25" w16cid:durableId="2062974264">
    <w:abstractNumId w:val="13"/>
  </w:num>
  <w:num w:numId="26" w16cid:durableId="298192294">
    <w:abstractNumId w:val="13"/>
  </w:num>
  <w:num w:numId="27" w16cid:durableId="188497930">
    <w:abstractNumId w:val="13"/>
  </w:num>
  <w:num w:numId="28" w16cid:durableId="1700660583">
    <w:abstractNumId w:val="13"/>
  </w:num>
  <w:num w:numId="29" w16cid:durableId="1130589008">
    <w:abstractNumId w:val="13"/>
  </w:num>
  <w:num w:numId="30" w16cid:durableId="268859373">
    <w:abstractNumId w:val="13"/>
  </w:num>
  <w:num w:numId="31" w16cid:durableId="6755320">
    <w:abstractNumId w:val="13"/>
  </w:num>
  <w:num w:numId="32" w16cid:durableId="538981583">
    <w:abstractNumId w:val="13"/>
  </w:num>
  <w:num w:numId="33" w16cid:durableId="1874152613">
    <w:abstractNumId w:val="13"/>
  </w:num>
  <w:num w:numId="34" w16cid:durableId="1037581714">
    <w:abstractNumId w:val="13"/>
  </w:num>
  <w:num w:numId="35" w16cid:durableId="237180278">
    <w:abstractNumId w:val="13"/>
  </w:num>
  <w:num w:numId="36" w16cid:durableId="963314340">
    <w:abstractNumId w:val="13"/>
  </w:num>
  <w:num w:numId="37" w16cid:durableId="933706094">
    <w:abstractNumId w:val="13"/>
  </w:num>
  <w:num w:numId="38" w16cid:durableId="1416048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A1"/>
    <w:rsid w:val="000204E6"/>
    <w:rsid w:val="000218F9"/>
    <w:rsid w:val="00033671"/>
    <w:rsid w:val="00035CB5"/>
    <w:rsid w:val="00036E26"/>
    <w:rsid w:val="0005136C"/>
    <w:rsid w:val="0005389D"/>
    <w:rsid w:val="00073BF6"/>
    <w:rsid w:val="00074EDC"/>
    <w:rsid w:val="000770CD"/>
    <w:rsid w:val="00082135"/>
    <w:rsid w:val="00082E89"/>
    <w:rsid w:val="000A3F27"/>
    <w:rsid w:val="000A43FF"/>
    <w:rsid w:val="000C0B1D"/>
    <w:rsid w:val="000C78F3"/>
    <w:rsid w:val="000E1268"/>
    <w:rsid w:val="000E693F"/>
    <w:rsid w:val="000F56C5"/>
    <w:rsid w:val="001018F6"/>
    <w:rsid w:val="00101B34"/>
    <w:rsid w:val="00103754"/>
    <w:rsid w:val="0010690D"/>
    <w:rsid w:val="00111033"/>
    <w:rsid w:val="0012631C"/>
    <w:rsid w:val="00126408"/>
    <w:rsid w:val="0015323D"/>
    <w:rsid w:val="0016368A"/>
    <w:rsid w:val="001668F5"/>
    <w:rsid w:val="00170459"/>
    <w:rsid w:val="0017114F"/>
    <w:rsid w:val="00186175"/>
    <w:rsid w:val="00191FD4"/>
    <w:rsid w:val="00197098"/>
    <w:rsid w:val="001A3111"/>
    <w:rsid w:val="001B051B"/>
    <w:rsid w:val="001C5230"/>
    <w:rsid w:val="001D6EE1"/>
    <w:rsid w:val="001E76BC"/>
    <w:rsid w:val="0020354A"/>
    <w:rsid w:val="002066DE"/>
    <w:rsid w:val="00226DC8"/>
    <w:rsid w:val="002540A7"/>
    <w:rsid w:val="00263B1A"/>
    <w:rsid w:val="00293715"/>
    <w:rsid w:val="00294337"/>
    <w:rsid w:val="002973A4"/>
    <w:rsid w:val="002B1394"/>
    <w:rsid w:val="002B64AE"/>
    <w:rsid w:val="002C720A"/>
    <w:rsid w:val="002D521D"/>
    <w:rsid w:val="002E20E9"/>
    <w:rsid w:val="002E2306"/>
    <w:rsid w:val="002F0952"/>
    <w:rsid w:val="002F1C62"/>
    <w:rsid w:val="002F721B"/>
    <w:rsid w:val="00304E93"/>
    <w:rsid w:val="003101B5"/>
    <w:rsid w:val="00313900"/>
    <w:rsid w:val="00325B7B"/>
    <w:rsid w:val="0032752F"/>
    <w:rsid w:val="00327B67"/>
    <w:rsid w:val="00336378"/>
    <w:rsid w:val="00343F6F"/>
    <w:rsid w:val="00353BEE"/>
    <w:rsid w:val="0035797C"/>
    <w:rsid w:val="00366D0E"/>
    <w:rsid w:val="00376295"/>
    <w:rsid w:val="00376397"/>
    <w:rsid w:val="00380F7A"/>
    <w:rsid w:val="00383F2E"/>
    <w:rsid w:val="0038493D"/>
    <w:rsid w:val="00387F5E"/>
    <w:rsid w:val="00395032"/>
    <w:rsid w:val="003A4B81"/>
    <w:rsid w:val="003A54B8"/>
    <w:rsid w:val="003B4085"/>
    <w:rsid w:val="003C084E"/>
    <w:rsid w:val="003D37F6"/>
    <w:rsid w:val="003D3A0E"/>
    <w:rsid w:val="003D41C1"/>
    <w:rsid w:val="003D5114"/>
    <w:rsid w:val="003E1514"/>
    <w:rsid w:val="003E25C7"/>
    <w:rsid w:val="003E483E"/>
    <w:rsid w:val="003E49F0"/>
    <w:rsid w:val="003F4BDC"/>
    <w:rsid w:val="003F6892"/>
    <w:rsid w:val="003F7DAC"/>
    <w:rsid w:val="00410136"/>
    <w:rsid w:val="00412BAB"/>
    <w:rsid w:val="004147AF"/>
    <w:rsid w:val="00427A75"/>
    <w:rsid w:val="00455F6E"/>
    <w:rsid w:val="00461A96"/>
    <w:rsid w:val="004658F7"/>
    <w:rsid w:val="00466D22"/>
    <w:rsid w:val="004824A8"/>
    <w:rsid w:val="004942FD"/>
    <w:rsid w:val="00496144"/>
    <w:rsid w:val="00497894"/>
    <w:rsid w:val="004B65F2"/>
    <w:rsid w:val="004C6AC4"/>
    <w:rsid w:val="004C79C6"/>
    <w:rsid w:val="004E3AC9"/>
    <w:rsid w:val="004E6A25"/>
    <w:rsid w:val="004F20F6"/>
    <w:rsid w:val="004F3EE3"/>
    <w:rsid w:val="004F4DD7"/>
    <w:rsid w:val="00504AC3"/>
    <w:rsid w:val="005123C9"/>
    <w:rsid w:val="00514E39"/>
    <w:rsid w:val="00514F15"/>
    <w:rsid w:val="00517013"/>
    <w:rsid w:val="005170AB"/>
    <w:rsid w:val="00530335"/>
    <w:rsid w:val="00540A2C"/>
    <w:rsid w:val="00556661"/>
    <w:rsid w:val="00565A0A"/>
    <w:rsid w:val="005A0709"/>
    <w:rsid w:val="005A0AA0"/>
    <w:rsid w:val="005A0D2B"/>
    <w:rsid w:val="005A16F2"/>
    <w:rsid w:val="005B720B"/>
    <w:rsid w:val="005C507C"/>
    <w:rsid w:val="005C5166"/>
    <w:rsid w:val="005C537D"/>
    <w:rsid w:val="005D084D"/>
    <w:rsid w:val="005D3A77"/>
    <w:rsid w:val="005D5482"/>
    <w:rsid w:val="005E308B"/>
    <w:rsid w:val="005E3A67"/>
    <w:rsid w:val="006001B9"/>
    <w:rsid w:val="00600ADE"/>
    <w:rsid w:val="00603786"/>
    <w:rsid w:val="00612B84"/>
    <w:rsid w:val="00621C05"/>
    <w:rsid w:val="00621C25"/>
    <w:rsid w:val="00623B11"/>
    <w:rsid w:val="00634C3C"/>
    <w:rsid w:val="006404AA"/>
    <w:rsid w:val="006441BD"/>
    <w:rsid w:val="00653918"/>
    <w:rsid w:val="00661B03"/>
    <w:rsid w:val="006622FA"/>
    <w:rsid w:val="00686BAE"/>
    <w:rsid w:val="00687E4D"/>
    <w:rsid w:val="0069406E"/>
    <w:rsid w:val="006A3BAD"/>
    <w:rsid w:val="006A7FFC"/>
    <w:rsid w:val="006C17CE"/>
    <w:rsid w:val="006C2FC8"/>
    <w:rsid w:val="006C6E3E"/>
    <w:rsid w:val="006C71F6"/>
    <w:rsid w:val="006D1CA4"/>
    <w:rsid w:val="006E07CB"/>
    <w:rsid w:val="006E1966"/>
    <w:rsid w:val="006E4DB0"/>
    <w:rsid w:val="006E772E"/>
    <w:rsid w:val="006F34A6"/>
    <w:rsid w:val="00700F3D"/>
    <w:rsid w:val="0070236E"/>
    <w:rsid w:val="00722368"/>
    <w:rsid w:val="007245B4"/>
    <w:rsid w:val="00726361"/>
    <w:rsid w:val="00735C2E"/>
    <w:rsid w:val="0074039D"/>
    <w:rsid w:val="00751C9E"/>
    <w:rsid w:val="007524BD"/>
    <w:rsid w:val="0076344B"/>
    <w:rsid w:val="00763587"/>
    <w:rsid w:val="00793648"/>
    <w:rsid w:val="007A5E3D"/>
    <w:rsid w:val="007A6527"/>
    <w:rsid w:val="007C3EFD"/>
    <w:rsid w:val="007C6DCD"/>
    <w:rsid w:val="007D168F"/>
    <w:rsid w:val="007D3B59"/>
    <w:rsid w:val="007E1AB5"/>
    <w:rsid w:val="007E7D8E"/>
    <w:rsid w:val="007F3CBF"/>
    <w:rsid w:val="007F5514"/>
    <w:rsid w:val="007F6569"/>
    <w:rsid w:val="00802DBD"/>
    <w:rsid w:val="0081513E"/>
    <w:rsid w:val="008303AE"/>
    <w:rsid w:val="0083420D"/>
    <w:rsid w:val="00836F30"/>
    <w:rsid w:val="00840414"/>
    <w:rsid w:val="00851765"/>
    <w:rsid w:val="00852E1E"/>
    <w:rsid w:val="00854F9A"/>
    <w:rsid w:val="00857328"/>
    <w:rsid w:val="00864CE8"/>
    <w:rsid w:val="00870BBE"/>
    <w:rsid w:val="00872FF4"/>
    <w:rsid w:val="008771B1"/>
    <w:rsid w:val="008811F9"/>
    <w:rsid w:val="008814C6"/>
    <w:rsid w:val="0088231A"/>
    <w:rsid w:val="008A60DC"/>
    <w:rsid w:val="008A6EA0"/>
    <w:rsid w:val="008B2009"/>
    <w:rsid w:val="008B6483"/>
    <w:rsid w:val="008D5A2D"/>
    <w:rsid w:val="008F395C"/>
    <w:rsid w:val="008F4AA1"/>
    <w:rsid w:val="008F783A"/>
    <w:rsid w:val="00922CD5"/>
    <w:rsid w:val="00934592"/>
    <w:rsid w:val="009345E2"/>
    <w:rsid w:val="0094357C"/>
    <w:rsid w:val="009450EF"/>
    <w:rsid w:val="009515CD"/>
    <w:rsid w:val="00953C22"/>
    <w:rsid w:val="00956B23"/>
    <w:rsid w:val="00960681"/>
    <w:rsid w:val="009615E4"/>
    <w:rsid w:val="0096263E"/>
    <w:rsid w:val="009636F8"/>
    <w:rsid w:val="0097335A"/>
    <w:rsid w:val="00992964"/>
    <w:rsid w:val="009931D2"/>
    <w:rsid w:val="009B260B"/>
    <w:rsid w:val="009B2AF5"/>
    <w:rsid w:val="009B36CC"/>
    <w:rsid w:val="009C1240"/>
    <w:rsid w:val="009C3AE9"/>
    <w:rsid w:val="009C49A0"/>
    <w:rsid w:val="009D4468"/>
    <w:rsid w:val="009F1C05"/>
    <w:rsid w:val="009F6A68"/>
    <w:rsid w:val="00A009CD"/>
    <w:rsid w:val="00A0530F"/>
    <w:rsid w:val="00A3138F"/>
    <w:rsid w:val="00A33377"/>
    <w:rsid w:val="00A4761A"/>
    <w:rsid w:val="00A50E50"/>
    <w:rsid w:val="00A53822"/>
    <w:rsid w:val="00A55600"/>
    <w:rsid w:val="00A62ACD"/>
    <w:rsid w:val="00A63E66"/>
    <w:rsid w:val="00A661F5"/>
    <w:rsid w:val="00A66B96"/>
    <w:rsid w:val="00A71E27"/>
    <w:rsid w:val="00A760AA"/>
    <w:rsid w:val="00A77499"/>
    <w:rsid w:val="00A849B0"/>
    <w:rsid w:val="00A90710"/>
    <w:rsid w:val="00AA46A7"/>
    <w:rsid w:val="00AD4526"/>
    <w:rsid w:val="00AD5DB8"/>
    <w:rsid w:val="00AE6C88"/>
    <w:rsid w:val="00AF5893"/>
    <w:rsid w:val="00B05763"/>
    <w:rsid w:val="00B07A3A"/>
    <w:rsid w:val="00B141D1"/>
    <w:rsid w:val="00B23F0A"/>
    <w:rsid w:val="00B2487B"/>
    <w:rsid w:val="00B30ECC"/>
    <w:rsid w:val="00B31A0C"/>
    <w:rsid w:val="00B3364C"/>
    <w:rsid w:val="00B3371C"/>
    <w:rsid w:val="00B37F07"/>
    <w:rsid w:val="00B44D74"/>
    <w:rsid w:val="00B55951"/>
    <w:rsid w:val="00B56A04"/>
    <w:rsid w:val="00B579B8"/>
    <w:rsid w:val="00B6749F"/>
    <w:rsid w:val="00B67721"/>
    <w:rsid w:val="00B71150"/>
    <w:rsid w:val="00B74535"/>
    <w:rsid w:val="00B74F77"/>
    <w:rsid w:val="00B771F9"/>
    <w:rsid w:val="00B80209"/>
    <w:rsid w:val="00BB6CFC"/>
    <w:rsid w:val="00BC2F48"/>
    <w:rsid w:val="00BC5BEA"/>
    <w:rsid w:val="00BC7F23"/>
    <w:rsid w:val="00BD6538"/>
    <w:rsid w:val="00BF4216"/>
    <w:rsid w:val="00C00822"/>
    <w:rsid w:val="00C010D6"/>
    <w:rsid w:val="00C21A2C"/>
    <w:rsid w:val="00C310A5"/>
    <w:rsid w:val="00C36AEC"/>
    <w:rsid w:val="00C47A4A"/>
    <w:rsid w:val="00C608AE"/>
    <w:rsid w:val="00C6252E"/>
    <w:rsid w:val="00C6552F"/>
    <w:rsid w:val="00C67A67"/>
    <w:rsid w:val="00C819AB"/>
    <w:rsid w:val="00C8347A"/>
    <w:rsid w:val="00C93825"/>
    <w:rsid w:val="00C94A49"/>
    <w:rsid w:val="00CA0D6E"/>
    <w:rsid w:val="00CD3126"/>
    <w:rsid w:val="00CF2565"/>
    <w:rsid w:val="00CF2C81"/>
    <w:rsid w:val="00CF6425"/>
    <w:rsid w:val="00D1624F"/>
    <w:rsid w:val="00D221E5"/>
    <w:rsid w:val="00D33F7A"/>
    <w:rsid w:val="00D34003"/>
    <w:rsid w:val="00D344B7"/>
    <w:rsid w:val="00D4167D"/>
    <w:rsid w:val="00D43BEE"/>
    <w:rsid w:val="00D50349"/>
    <w:rsid w:val="00D525B7"/>
    <w:rsid w:val="00D52D83"/>
    <w:rsid w:val="00D56864"/>
    <w:rsid w:val="00D6148D"/>
    <w:rsid w:val="00D66E17"/>
    <w:rsid w:val="00DA7652"/>
    <w:rsid w:val="00DE3CC1"/>
    <w:rsid w:val="00DF5623"/>
    <w:rsid w:val="00DF5F88"/>
    <w:rsid w:val="00E04BE8"/>
    <w:rsid w:val="00E06517"/>
    <w:rsid w:val="00E1133F"/>
    <w:rsid w:val="00E261F3"/>
    <w:rsid w:val="00E412A6"/>
    <w:rsid w:val="00E469F9"/>
    <w:rsid w:val="00E47846"/>
    <w:rsid w:val="00E618EA"/>
    <w:rsid w:val="00E637AA"/>
    <w:rsid w:val="00E92FA3"/>
    <w:rsid w:val="00E94195"/>
    <w:rsid w:val="00EA4535"/>
    <w:rsid w:val="00EB2646"/>
    <w:rsid w:val="00EB38F1"/>
    <w:rsid w:val="00EB4004"/>
    <w:rsid w:val="00EB73CA"/>
    <w:rsid w:val="00EB77A7"/>
    <w:rsid w:val="00EC291C"/>
    <w:rsid w:val="00EC759E"/>
    <w:rsid w:val="00ED18E2"/>
    <w:rsid w:val="00ED27F0"/>
    <w:rsid w:val="00EE2DEA"/>
    <w:rsid w:val="00EF4A88"/>
    <w:rsid w:val="00EF7080"/>
    <w:rsid w:val="00EF7210"/>
    <w:rsid w:val="00F01D7C"/>
    <w:rsid w:val="00F07461"/>
    <w:rsid w:val="00F075D1"/>
    <w:rsid w:val="00F2681F"/>
    <w:rsid w:val="00F36D79"/>
    <w:rsid w:val="00F37A6F"/>
    <w:rsid w:val="00F416D2"/>
    <w:rsid w:val="00F642FE"/>
    <w:rsid w:val="00F65BBD"/>
    <w:rsid w:val="00F76728"/>
    <w:rsid w:val="00F77F60"/>
    <w:rsid w:val="00F85F1B"/>
    <w:rsid w:val="00FA3315"/>
    <w:rsid w:val="00FA6017"/>
    <w:rsid w:val="00FB40BE"/>
    <w:rsid w:val="00FC582A"/>
    <w:rsid w:val="00FC5924"/>
    <w:rsid w:val="00FD3F1E"/>
    <w:rsid w:val="00FD56A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62427E"/>
  <w15:chartTrackingRefBased/>
  <w15:docId w15:val="{914AF017-54F9-44D9-BE93-3B479FF1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783A"/>
    <w:pPr>
      <w:spacing w:after="0" w:line="276" w:lineRule="auto"/>
      <w:jc w:val="both"/>
    </w:pPr>
    <w:rPr>
      <w:rFonts w:eastAsia="Calibri" w:cs="Arial"/>
      <w:kern w:val="0"/>
      <w:szCs w:val="20"/>
      <w14:ligatures w14:val="none"/>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802DBD"/>
    <w:pPr>
      <w:keepNext/>
      <w:keepLines/>
      <w:numPr>
        <w:numId w:val="1"/>
      </w:numPr>
      <w:pBdr>
        <w:bottom w:val="single" w:sz="12" w:space="1" w:color="808080"/>
      </w:pBdr>
      <w:spacing w:before="360" w:after="120"/>
      <w:outlineLvl w:val="0"/>
    </w:pPr>
    <w:rPr>
      <w:rFonts w:ascii="Palatino Linotype" w:eastAsia="Times New Roman" w:hAnsi="Palatino Linotype"/>
      <w:b/>
      <w:bCs/>
      <w:smallCaps/>
      <w:color w:val="0B91D0"/>
      <w:sz w:val="28"/>
      <w:szCs w:val="28"/>
    </w:rPr>
  </w:style>
  <w:style w:type="paragraph" w:styleId="Nadpis2">
    <w:name w:val="heading 2"/>
    <w:basedOn w:val="Normln"/>
    <w:next w:val="Normln"/>
    <w:link w:val="Nadpis2Char"/>
    <w:uiPriority w:val="9"/>
    <w:semiHidden/>
    <w:unhideWhenUsed/>
    <w:qFormat/>
    <w:rsid w:val="003A54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link w:val="NzevdokumentuChar"/>
    <w:uiPriority w:val="99"/>
    <w:qFormat/>
    <w:rsid w:val="008F783A"/>
    <w:pPr>
      <w:spacing w:after="0" w:line="240" w:lineRule="auto"/>
      <w:jc w:val="center"/>
    </w:pPr>
    <w:rPr>
      <w:rFonts w:ascii="Palatino Linotype" w:eastAsiaTheme="majorEastAsia" w:hAnsi="Palatino Linotype" w:cs="Arial"/>
      <w:b/>
      <w:bCs/>
      <w:caps/>
      <w:color w:val="0B91D0"/>
      <w:kern w:val="28"/>
      <w:sz w:val="40"/>
      <w:szCs w:val="44"/>
      <w:lang w:eastAsia="cs-CZ"/>
      <w14:ligatures w14:val="none"/>
    </w:rPr>
  </w:style>
  <w:style w:type="character" w:customStyle="1" w:styleId="NzevdokumentuChar">
    <w:name w:val="Název dokumentu Char"/>
    <w:basedOn w:val="Standardnpsmoodstavce"/>
    <w:link w:val="Nzevdokumentu"/>
    <w:uiPriority w:val="99"/>
    <w:rsid w:val="008F783A"/>
    <w:rPr>
      <w:rFonts w:ascii="Palatino Linotype" w:eastAsiaTheme="majorEastAsia" w:hAnsi="Palatino Linotype" w:cs="Arial"/>
      <w:b/>
      <w:bCs/>
      <w:caps/>
      <w:color w:val="0B91D0"/>
      <w:kern w:val="28"/>
      <w:sz w:val="40"/>
      <w:szCs w:val="44"/>
      <w:lang w:eastAsia="cs-CZ"/>
      <w14:ligatures w14:val="none"/>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9"/>
    <w:rsid w:val="00802DBD"/>
    <w:rPr>
      <w:rFonts w:ascii="Palatino Linotype" w:eastAsia="Times New Roman" w:hAnsi="Palatino Linotype" w:cs="Arial"/>
      <w:b/>
      <w:bCs/>
      <w:smallCaps/>
      <w:color w:val="0B91D0"/>
      <w:kern w:val="0"/>
      <w:sz w:val="28"/>
      <w:szCs w:val="28"/>
      <w14:ligatures w14:val="none"/>
    </w:rPr>
  </w:style>
  <w:style w:type="character" w:styleId="Hypertextovodkaz">
    <w:name w:val="Hyperlink"/>
    <w:basedOn w:val="Standardnpsmoodstavce"/>
    <w:uiPriority w:val="99"/>
    <w:rsid w:val="00802DBD"/>
    <w:rPr>
      <w:rFonts w:cs="Times New Roman"/>
      <w:color w:val="0000FF"/>
      <w:u w:val="single"/>
    </w:rPr>
  </w:style>
  <w:style w:type="paragraph" w:customStyle="1" w:styleId="Styl1">
    <w:name w:val="Styl1"/>
    <w:basedOn w:val="Odstavecseseznamem"/>
    <w:link w:val="Styl1Char"/>
    <w:uiPriority w:val="99"/>
    <w:qFormat/>
    <w:rsid w:val="00802DBD"/>
    <w:pPr>
      <w:numPr>
        <w:ilvl w:val="1"/>
        <w:numId w:val="1"/>
      </w:numPr>
      <w:spacing w:before="120" w:after="120"/>
      <w:contextualSpacing w:val="0"/>
    </w:pPr>
    <w:rPr>
      <w:rFonts w:ascii="Calibri" w:hAnsi="Calibri"/>
    </w:rPr>
  </w:style>
  <w:style w:type="paragraph" w:customStyle="1" w:styleId="Styl2">
    <w:name w:val="Styl2"/>
    <w:basedOn w:val="Bezmezer"/>
    <w:uiPriority w:val="99"/>
    <w:qFormat/>
    <w:rsid w:val="00802DBD"/>
    <w:pPr>
      <w:numPr>
        <w:ilvl w:val="2"/>
        <w:numId w:val="1"/>
      </w:numPr>
      <w:spacing w:before="120" w:after="120" w:line="276" w:lineRule="auto"/>
    </w:pPr>
    <w:rPr>
      <w:rFonts w:ascii="Arial" w:hAnsi="Arial"/>
      <w:sz w:val="20"/>
    </w:rPr>
  </w:style>
  <w:style w:type="table" w:styleId="Mkatabulky">
    <w:name w:val="Table Grid"/>
    <w:basedOn w:val="Normlntabulka"/>
    <w:uiPriority w:val="59"/>
    <w:rsid w:val="00802DBD"/>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A-Odrážky1,Odstavec_muj,Nad"/>
    <w:basedOn w:val="Normln"/>
    <w:link w:val="OdstavecseseznamemChar"/>
    <w:uiPriority w:val="34"/>
    <w:qFormat/>
    <w:rsid w:val="00802DBD"/>
    <w:pPr>
      <w:ind w:left="720"/>
      <w:contextualSpacing/>
    </w:pPr>
  </w:style>
  <w:style w:type="paragraph" w:styleId="Bezmezer">
    <w:name w:val="No Spacing"/>
    <w:link w:val="BezmezerChar"/>
    <w:uiPriority w:val="19"/>
    <w:qFormat/>
    <w:rsid w:val="00802DBD"/>
    <w:pPr>
      <w:spacing w:after="0" w:line="240" w:lineRule="auto"/>
      <w:jc w:val="both"/>
    </w:pPr>
    <w:rPr>
      <w:rFonts w:eastAsia="Calibri" w:cs="Arial"/>
      <w:kern w:val="0"/>
      <w:szCs w:val="20"/>
      <w14:ligatures w14:val="none"/>
    </w:rPr>
  </w:style>
  <w:style w:type="paragraph" w:customStyle="1" w:styleId="Odstsl">
    <w:name w:val="Odst. čísl."/>
    <w:basedOn w:val="Normln"/>
    <w:link w:val="OdstslChar"/>
    <w:uiPriority w:val="4"/>
    <w:qFormat/>
    <w:rsid w:val="00EE2DEA"/>
    <w:pPr>
      <w:spacing w:after="120"/>
      <w:ind w:left="567" w:hanging="567"/>
    </w:pPr>
    <w:rPr>
      <w:rFonts w:eastAsiaTheme="minorHAnsi" w:cstheme="minorBidi"/>
      <w:szCs w:val="22"/>
    </w:rPr>
  </w:style>
  <w:style w:type="character" w:customStyle="1" w:styleId="OdstslChar">
    <w:name w:val="Odst. čísl. Char"/>
    <w:basedOn w:val="Standardnpsmoodstavce"/>
    <w:link w:val="Odstsl"/>
    <w:uiPriority w:val="4"/>
    <w:rsid w:val="00EE2DEA"/>
    <w:rPr>
      <w:kern w:val="0"/>
      <w14:ligatures w14:val="none"/>
    </w:rPr>
  </w:style>
  <w:style w:type="paragraph" w:customStyle="1" w:styleId="Psm">
    <w:name w:val="Písm."/>
    <w:basedOn w:val="Odstsl"/>
    <w:uiPriority w:val="6"/>
    <w:qFormat/>
    <w:rsid w:val="00EE2DEA"/>
    <w:pPr>
      <w:ind w:left="2160" w:hanging="180"/>
    </w:pPr>
  </w:style>
  <w:style w:type="paragraph" w:customStyle="1" w:styleId="Odrkanesl">
    <w:name w:val="Odrážka nečísl."/>
    <w:basedOn w:val="Normln"/>
    <w:link w:val="OdrkaneslChar"/>
    <w:uiPriority w:val="9"/>
    <w:qFormat/>
    <w:rsid w:val="00EE2DEA"/>
    <w:pPr>
      <w:spacing w:after="120"/>
      <w:ind w:left="851" w:hanging="284"/>
    </w:pPr>
    <w:rPr>
      <w:rFonts w:eastAsiaTheme="minorHAnsi" w:cstheme="minorBidi"/>
      <w:szCs w:val="22"/>
    </w:rPr>
  </w:style>
  <w:style w:type="paragraph" w:customStyle="1" w:styleId="Odrkasl">
    <w:name w:val="Odrážka čísl."/>
    <w:basedOn w:val="Normln"/>
    <w:uiPriority w:val="8"/>
    <w:qFormat/>
    <w:rsid w:val="00EE2DEA"/>
    <w:pPr>
      <w:tabs>
        <w:tab w:val="num" w:pos="567"/>
      </w:tabs>
      <w:spacing w:after="120"/>
      <w:ind w:left="851" w:hanging="284"/>
    </w:pPr>
    <w:rPr>
      <w:rFonts w:eastAsiaTheme="minorHAnsi" w:cstheme="minorBidi"/>
      <w:szCs w:val="22"/>
    </w:rPr>
  </w:style>
  <w:style w:type="paragraph" w:customStyle="1" w:styleId="Styl11">
    <w:name w:val="Styl 1.1."/>
    <w:basedOn w:val="Styl1"/>
    <w:link w:val="Styl11Char"/>
    <w:qFormat/>
    <w:rsid w:val="003A54B8"/>
    <w:pPr>
      <w:numPr>
        <w:ilvl w:val="0"/>
        <w:numId w:val="0"/>
      </w:numPr>
      <w:ind w:left="432" w:hanging="432"/>
    </w:pPr>
  </w:style>
  <w:style w:type="character" w:customStyle="1" w:styleId="Styl11Char">
    <w:name w:val="Styl 1.1. Char"/>
    <w:basedOn w:val="Standardnpsmoodstavce"/>
    <w:link w:val="Styl11"/>
    <w:locked/>
    <w:rsid w:val="003A54B8"/>
    <w:rPr>
      <w:rFonts w:ascii="Calibri" w:eastAsia="Calibri" w:hAnsi="Calibri" w:cs="Arial"/>
      <w:kern w:val="0"/>
      <w:szCs w:val="20"/>
      <w14:ligatures w14:val="none"/>
    </w:rPr>
  </w:style>
  <w:style w:type="paragraph" w:customStyle="1" w:styleId="podnadpis">
    <w:name w:val="podnadpis"/>
    <w:basedOn w:val="Nadpis2"/>
    <w:link w:val="podnadpisChar"/>
    <w:qFormat/>
    <w:rsid w:val="003A54B8"/>
    <w:pPr>
      <w:keepLines w:val="0"/>
      <w:spacing w:before="240"/>
    </w:pPr>
    <w:rPr>
      <w:rFonts w:ascii="Palatino Linotype" w:eastAsia="Calibri" w:hAnsi="Palatino Linotype" w:cs="Arial"/>
      <w:b/>
      <w:bCs/>
      <w:color w:val="0B91D0"/>
      <w:sz w:val="24"/>
      <w:szCs w:val="24"/>
      <w:lang w:eastAsia="cs-CZ"/>
    </w:rPr>
  </w:style>
  <w:style w:type="character" w:customStyle="1" w:styleId="podnadpisChar">
    <w:name w:val="podnadpis Char"/>
    <w:basedOn w:val="Standardnpsmoodstavce"/>
    <w:link w:val="podnadpis"/>
    <w:locked/>
    <w:rsid w:val="003A54B8"/>
    <w:rPr>
      <w:rFonts w:ascii="Palatino Linotype" w:eastAsia="Calibri" w:hAnsi="Palatino Linotype" w:cs="Arial"/>
      <w:b/>
      <w:bCs/>
      <w:color w:val="0B91D0"/>
      <w:kern w:val="0"/>
      <w:sz w:val="24"/>
      <w:szCs w:val="24"/>
      <w:lang w:eastAsia="cs-CZ"/>
      <w14:ligatures w14:val="none"/>
    </w:rPr>
  </w:style>
  <w:style w:type="character" w:customStyle="1" w:styleId="Styl1Char">
    <w:name w:val="Styl1 Char"/>
    <w:basedOn w:val="Standardnpsmoodstavce"/>
    <w:link w:val="Styl1"/>
    <w:uiPriority w:val="99"/>
    <w:locked/>
    <w:rsid w:val="003A54B8"/>
    <w:rPr>
      <w:rFonts w:ascii="Calibri" w:eastAsia="Calibri" w:hAnsi="Calibri" w:cs="Arial"/>
      <w:kern w:val="0"/>
      <w:szCs w:val="20"/>
      <w14:ligatures w14:val="none"/>
    </w:rPr>
  </w:style>
  <w:style w:type="character" w:customStyle="1" w:styleId="Nadpis2Char">
    <w:name w:val="Nadpis 2 Char"/>
    <w:basedOn w:val="Standardnpsmoodstavce"/>
    <w:link w:val="Nadpis2"/>
    <w:uiPriority w:val="9"/>
    <w:semiHidden/>
    <w:rsid w:val="003A54B8"/>
    <w:rPr>
      <w:rFonts w:asciiTheme="majorHAnsi" w:eastAsiaTheme="majorEastAsia" w:hAnsiTheme="majorHAnsi" w:cstheme="majorBidi"/>
      <w:color w:val="2F5496" w:themeColor="accent1" w:themeShade="BF"/>
      <w:kern w:val="0"/>
      <w:sz w:val="26"/>
      <w:szCs w:val="26"/>
      <w14:ligatures w14:val="none"/>
    </w:rPr>
  </w:style>
  <w:style w:type="paragraph" w:styleId="Zhlav">
    <w:name w:val="header"/>
    <w:basedOn w:val="Normln"/>
    <w:link w:val="ZhlavChar"/>
    <w:uiPriority w:val="99"/>
    <w:unhideWhenUsed/>
    <w:rsid w:val="00D221E5"/>
    <w:pPr>
      <w:tabs>
        <w:tab w:val="center" w:pos="4536"/>
        <w:tab w:val="right" w:pos="9072"/>
      </w:tabs>
      <w:spacing w:line="240" w:lineRule="auto"/>
    </w:pPr>
  </w:style>
  <w:style w:type="character" w:customStyle="1" w:styleId="ZhlavChar">
    <w:name w:val="Záhlaví Char"/>
    <w:basedOn w:val="Standardnpsmoodstavce"/>
    <w:link w:val="Zhlav"/>
    <w:uiPriority w:val="99"/>
    <w:rsid w:val="00D221E5"/>
    <w:rPr>
      <w:rFonts w:eastAsia="Calibri" w:cs="Arial"/>
      <w:kern w:val="0"/>
      <w:szCs w:val="20"/>
      <w14:ligatures w14:val="none"/>
    </w:rPr>
  </w:style>
  <w:style w:type="paragraph" w:styleId="Zpat">
    <w:name w:val="footer"/>
    <w:basedOn w:val="Normln"/>
    <w:link w:val="ZpatChar"/>
    <w:uiPriority w:val="99"/>
    <w:unhideWhenUsed/>
    <w:rsid w:val="00D221E5"/>
    <w:pPr>
      <w:tabs>
        <w:tab w:val="center" w:pos="4536"/>
        <w:tab w:val="right" w:pos="9072"/>
      </w:tabs>
      <w:spacing w:line="240" w:lineRule="auto"/>
    </w:pPr>
  </w:style>
  <w:style w:type="character" w:customStyle="1" w:styleId="ZpatChar">
    <w:name w:val="Zápatí Char"/>
    <w:basedOn w:val="Standardnpsmoodstavce"/>
    <w:link w:val="Zpat"/>
    <w:uiPriority w:val="99"/>
    <w:rsid w:val="00D221E5"/>
    <w:rPr>
      <w:rFonts w:eastAsia="Calibri" w:cs="Arial"/>
      <w:kern w:val="0"/>
      <w:szCs w:val="20"/>
      <w14:ligatures w14:val="none"/>
    </w:rPr>
  </w:style>
  <w:style w:type="paragraph" w:customStyle="1" w:styleId="sla">
    <w:name w:val="Čísla"/>
    <w:basedOn w:val="Normln"/>
    <w:uiPriority w:val="99"/>
    <w:rsid w:val="00186175"/>
    <w:pPr>
      <w:numPr>
        <w:numId w:val="5"/>
      </w:numPr>
    </w:pPr>
    <w:rPr>
      <w:rFonts w:ascii="Calibri" w:eastAsia="Times New Roman" w:hAnsi="Calibri"/>
      <w:lang w:eastAsia="cs-CZ"/>
    </w:rPr>
  </w:style>
  <w:style w:type="character" w:styleId="Zdraznnjemn">
    <w:name w:val="Subtle Emphasis"/>
    <w:aliases w:val="Písmenka"/>
    <w:uiPriority w:val="99"/>
    <w:qFormat/>
    <w:rsid w:val="00191FD4"/>
  </w:style>
  <w:style w:type="paragraph" w:customStyle="1" w:styleId="Psmena">
    <w:name w:val="Písmena"/>
    <w:basedOn w:val="Odstavecseseznamem"/>
    <w:link w:val="PsmenaChar"/>
    <w:uiPriority w:val="99"/>
    <w:qFormat/>
    <w:rsid w:val="00191FD4"/>
    <w:pPr>
      <w:numPr>
        <w:numId w:val="6"/>
      </w:numPr>
      <w:spacing w:before="120" w:after="120"/>
      <w:contextualSpacing w:val="0"/>
    </w:pPr>
    <w:rPr>
      <w:rFonts w:ascii="Calibri" w:hAnsi="Calibri"/>
    </w:rPr>
  </w:style>
  <w:style w:type="character" w:customStyle="1" w:styleId="PsmenaChar">
    <w:name w:val="Písmena Char"/>
    <w:basedOn w:val="Standardnpsmoodstavce"/>
    <w:link w:val="Psmena"/>
    <w:uiPriority w:val="99"/>
    <w:locked/>
    <w:rsid w:val="00191FD4"/>
    <w:rPr>
      <w:rFonts w:ascii="Calibri" w:eastAsia="Calibri" w:hAnsi="Calibri" w:cs="Arial"/>
      <w:kern w:val="0"/>
      <w:szCs w:val="20"/>
      <w14:ligatures w14:val="none"/>
    </w:rPr>
  </w:style>
  <w:style w:type="paragraph" w:customStyle="1" w:styleId="Seznam-psmena">
    <w:name w:val="Seznam - písmena"/>
    <w:basedOn w:val="Psmena"/>
    <w:link w:val="Seznam-psmenaChar"/>
    <w:qFormat/>
    <w:rsid w:val="00191FD4"/>
    <w:pPr>
      <w:tabs>
        <w:tab w:val="left" w:pos="993"/>
      </w:tabs>
    </w:pPr>
  </w:style>
  <w:style w:type="character" w:customStyle="1" w:styleId="Seznam-psmenaChar">
    <w:name w:val="Seznam - písmena Char"/>
    <w:basedOn w:val="PsmenaChar"/>
    <w:link w:val="Seznam-psmena"/>
    <w:rsid w:val="00191FD4"/>
    <w:rPr>
      <w:rFonts w:ascii="Calibri" w:eastAsia="Calibri" w:hAnsi="Calibri" w:cs="Arial"/>
      <w:kern w:val="0"/>
      <w:szCs w:val="20"/>
      <w14:ligatures w14:val="none"/>
    </w:rPr>
  </w:style>
  <w:style w:type="paragraph" w:customStyle="1" w:styleId="Tabulka">
    <w:name w:val="Tabulka"/>
    <w:basedOn w:val="Styl11"/>
    <w:link w:val="TabulkaChar"/>
    <w:qFormat/>
    <w:rsid w:val="003E49F0"/>
    <w:pPr>
      <w:ind w:left="0" w:firstLine="0"/>
    </w:pPr>
  </w:style>
  <w:style w:type="character" w:customStyle="1" w:styleId="TabulkaChar">
    <w:name w:val="Tabulka Char"/>
    <w:basedOn w:val="Standardnpsmoodstavce"/>
    <w:link w:val="Tabulka"/>
    <w:locked/>
    <w:rsid w:val="003E49F0"/>
    <w:rPr>
      <w:rFonts w:ascii="Calibri" w:eastAsia="Calibri" w:hAnsi="Calibri" w:cs="Arial"/>
      <w:kern w:val="0"/>
      <w:szCs w:val="20"/>
      <w14:ligatures w14:val="none"/>
    </w:rPr>
  </w:style>
  <w:style w:type="character" w:styleId="Sledovanodkaz">
    <w:name w:val="FollowedHyperlink"/>
    <w:basedOn w:val="Standardnpsmoodstavce"/>
    <w:uiPriority w:val="99"/>
    <w:semiHidden/>
    <w:unhideWhenUsed/>
    <w:rsid w:val="005D5482"/>
    <w:rPr>
      <w:color w:val="954F72" w:themeColor="followedHyperlink"/>
      <w:u w:val="single"/>
    </w:rPr>
  </w:style>
  <w:style w:type="character" w:styleId="slostrnky">
    <w:name w:val="page number"/>
    <w:basedOn w:val="Standardnpsmoodstavce"/>
    <w:uiPriority w:val="99"/>
    <w:semiHidden/>
    <w:rsid w:val="00857328"/>
    <w:rPr>
      <w:rFonts w:ascii="Times New Roman" w:hAnsi="Times New Roman" w:cs="Times New Roman"/>
    </w:rPr>
  </w:style>
  <w:style w:type="character" w:customStyle="1" w:styleId="OdstavecseseznamemChar">
    <w:name w:val="Odstavec se seznamem Char"/>
    <w:aliases w:val="A-Odrážky1 Char,Odstavec_muj Char,Nad Char"/>
    <w:basedOn w:val="Standardnpsmoodstavce"/>
    <w:link w:val="Odstavecseseznamem"/>
    <w:uiPriority w:val="34"/>
    <w:locked/>
    <w:rsid w:val="003D41C1"/>
    <w:rPr>
      <w:rFonts w:eastAsia="Calibri" w:cs="Arial"/>
      <w:kern w:val="0"/>
      <w:szCs w:val="20"/>
      <w14:ligatures w14:val="none"/>
    </w:rPr>
  </w:style>
  <w:style w:type="character" w:styleId="Odkaznakoment">
    <w:name w:val="annotation reference"/>
    <w:basedOn w:val="Standardnpsmoodstavce"/>
    <w:uiPriority w:val="99"/>
    <w:unhideWhenUsed/>
    <w:rsid w:val="00872FF4"/>
    <w:rPr>
      <w:sz w:val="16"/>
      <w:szCs w:val="16"/>
    </w:rPr>
  </w:style>
  <w:style w:type="paragraph" w:styleId="Textkomente">
    <w:name w:val="annotation text"/>
    <w:basedOn w:val="Normln"/>
    <w:link w:val="TextkomenteChar"/>
    <w:uiPriority w:val="99"/>
    <w:unhideWhenUsed/>
    <w:rsid w:val="00872FF4"/>
    <w:pPr>
      <w:spacing w:line="240" w:lineRule="auto"/>
    </w:pPr>
    <w:rPr>
      <w:sz w:val="20"/>
    </w:rPr>
  </w:style>
  <w:style w:type="character" w:customStyle="1" w:styleId="TextkomenteChar">
    <w:name w:val="Text komentáře Char"/>
    <w:basedOn w:val="Standardnpsmoodstavce"/>
    <w:link w:val="Textkomente"/>
    <w:uiPriority w:val="99"/>
    <w:rsid w:val="00872FF4"/>
    <w:rPr>
      <w:rFonts w:eastAsia="Calibri" w:cs="Arial"/>
      <w:kern w:val="0"/>
      <w:sz w:val="20"/>
      <w:szCs w:val="20"/>
      <w14:ligatures w14:val="none"/>
    </w:rPr>
  </w:style>
  <w:style w:type="paragraph" w:styleId="Pedmtkomente">
    <w:name w:val="annotation subject"/>
    <w:basedOn w:val="Textkomente"/>
    <w:next w:val="Textkomente"/>
    <w:link w:val="PedmtkomenteChar"/>
    <w:uiPriority w:val="99"/>
    <w:semiHidden/>
    <w:unhideWhenUsed/>
    <w:rsid w:val="00872FF4"/>
    <w:rPr>
      <w:b/>
      <w:bCs/>
    </w:rPr>
  </w:style>
  <w:style w:type="character" w:customStyle="1" w:styleId="PedmtkomenteChar">
    <w:name w:val="Předmět komentáře Char"/>
    <w:basedOn w:val="TextkomenteChar"/>
    <w:link w:val="Pedmtkomente"/>
    <w:uiPriority w:val="99"/>
    <w:semiHidden/>
    <w:rsid w:val="00872FF4"/>
    <w:rPr>
      <w:rFonts w:eastAsia="Calibri" w:cs="Arial"/>
      <w:b/>
      <w:bCs/>
      <w:kern w:val="0"/>
      <w:sz w:val="20"/>
      <w:szCs w:val="20"/>
      <w14:ligatures w14:val="none"/>
    </w:rPr>
  </w:style>
  <w:style w:type="paragraph" w:customStyle="1" w:styleId="Default">
    <w:name w:val="Default"/>
    <w:rsid w:val="004C79C6"/>
    <w:pPr>
      <w:autoSpaceDE w:val="0"/>
      <w:autoSpaceDN w:val="0"/>
      <w:adjustRightInd w:val="0"/>
      <w:spacing w:after="0" w:line="240" w:lineRule="auto"/>
    </w:pPr>
    <w:rPr>
      <w:rFonts w:ascii="Calibri" w:hAnsi="Calibri" w:cs="Calibri"/>
      <w:color w:val="000000"/>
      <w:kern w:val="0"/>
      <w:sz w:val="24"/>
      <w:szCs w:val="24"/>
    </w:rPr>
  </w:style>
  <w:style w:type="character" w:customStyle="1" w:styleId="Nevyeenzmnka1">
    <w:name w:val="Nevyřešená zmínka1"/>
    <w:basedOn w:val="Standardnpsmoodstavce"/>
    <w:uiPriority w:val="99"/>
    <w:semiHidden/>
    <w:unhideWhenUsed/>
    <w:rsid w:val="00304E93"/>
    <w:rPr>
      <w:color w:val="605E5C"/>
      <w:shd w:val="clear" w:color="auto" w:fill="E1DFDD"/>
    </w:rPr>
  </w:style>
  <w:style w:type="paragraph" w:styleId="Textbubliny">
    <w:name w:val="Balloon Text"/>
    <w:basedOn w:val="Normln"/>
    <w:link w:val="TextbublinyChar"/>
    <w:uiPriority w:val="99"/>
    <w:semiHidden/>
    <w:unhideWhenUsed/>
    <w:rsid w:val="006001B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01B9"/>
    <w:rPr>
      <w:rFonts w:ascii="Segoe UI" w:eastAsia="Calibri" w:hAnsi="Segoe UI" w:cs="Segoe UI"/>
      <w:kern w:val="0"/>
      <w:sz w:val="18"/>
      <w:szCs w:val="18"/>
      <w14:ligatures w14:val="none"/>
    </w:rPr>
  </w:style>
  <w:style w:type="paragraph" w:styleId="Revize">
    <w:name w:val="Revision"/>
    <w:hidden/>
    <w:uiPriority w:val="99"/>
    <w:semiHidden/>
    <w:rsid w:val="003E25C7"/>
    <w:pPr>
      <w:spacing w:after="0" w:line="240" w:lineRule="auto"/>
    </w:pPr>
    <w:rPr>
      <w:rFonts w:eastAsia="Calibri" w:cs="Arial"/>
      <w:kern w:val="0"/>
      <w:szCs w:val="20"/>
      <w14:ligatures w14:val="none"/>
    </w:rPr>
  </w:style>
  <w:style w:type="paragraph" w:customStyle="1" w:styleId="Tab">
    <w:name w:val="Tab."/>
    <w:basedOn w:val="Normln"/>
    <w:link w:val="TabChar"/>
    <w:uiPriority w:val="10"/>
    <w:qFormat/>
    <w:rsid w:val="00466D22"/>
    <w:pPr>
      <w:jc w:val="left"/>
    </w:pPr>
    <w:rPr>
      <w:rFonts w:eastAsiaTheme="minorHAnsi" w:cstheme="minorBidi"/>
      <w:szCs w:val="22"/>
    </w:rPr>
  </w:style>
  <w:style w:type="character" w:customStyle="1" w:styleId="TabChar">
    <w:name w:val="Tab. Char"/>
    <w:basedOn w:val="Standardnpsmoodstavce"/>
    <w:link w:val="Tab"/>
    <w:uiPriority w:val="10"/>
    <w:rsid w:val="00466D22"/>
    <w:rPr>
      <w:kern w:val="0"/>
      <w14:ligatures w14:val="none"/>
    </w:rPr>
  </w:style>
  <w:style w:type="paragraph" w:customStyle="1" w:styleId="Tabtun">
    <w:name w:val="Tab. tučně"/>
    <w:basedOn w:val="Normln"/>
    <w:link w:val="TabtunChar"/>
    <w:uiPriority w:val="11"/>
    <w:qFormat/>
    <w:rsid w:val="00A53822"/>
    <w:pPr>
      <w:jc w:val="left"/>
    </w:pPr>
    <w:rPr>
      <w:rFonts w:eastAsiaTheme="minorHAnsi" w:cstheme="minorBidi"/>
      <w:b/>
      <w:szCs w:val="22"/>
    </w:rPr>
  </w:style>
  <w:style w:type="character" w:customStyle="1" w:styleId="TabtunChar">
    <w:name w:val="Tab. tučně Char"/>
    <w:basedOn w:val="Standardnpsmoodstavce"/>
    <w:link w:val="Tabtun"/>
    <w:uiPriority w:val="11"/>
    <w:rsid w:val="00A53822"/>
    <w:rPr>
      <w:b/>
      <w:kern w:val="0"/>
      <w14:ligatures w14:val="none"/>
    </w:rPr>
  </w:style>
  <w:style w:type="character" w:styleId="Nevyeenzmnka">
    <w:name w:val="Unresolved Mention"/>
    <w:basedOn w:val="Standardnpsmoodstavce"/>
    <w:uiPriority w:val="99"/>
    <w:semiHidden/>
    <w:unhideWhenUsed/>
    <w:rsid w:val="009B36CC"/>
    <w:rPr>
      <w:color w:val="605E5C"/>
      <w:shd w:val="clear" w:color="auto" w:fill="E1DFDD"/>
    </w:rPr>
  </w:style>
  <w:style w:type="paragraph" w:customStyle="1" w:styleId="Seznamploh">
    <w:name w:val="Seznam příloh"/>
    <w:basedOn w:val="Odstsl"/>
    <w:link w:val="SeznamplohChar"/>
    <w:uiPriority w:val="18"/>
    <w:qFormat/>
    <w:rsid w:val="005A0709"/>
    <w:pPr>
      <w:keepNext/>
      <w:tabs>
        <w:tab w:val="left" w:pos="1418"/>
      </w:tabs>
      <w:spacing w:after="0"/>
      <w:ind w:left="1418" w:hanging="1418"/>
    </w:pPr>
  </w:style>
  <w:style w:type="character" w:customStyle="1" w:styleId="SeznamplohChar">
    <w:name w:val="Seznam příloh Char"/>
    <w:basedOn w:val="OdstslChar"/>
    <w:link w:val="Seznamploh"/>
    <w:uiPriority w:val="18"/>
    <w:rsid w:val="005A0709"/>
    <w:rPr>
      <w:kern w:val="0"/>
      <w14:ligatures w14:val="none"/>
    </w:rPr>
  </w:style>
  <w:style w:type="character" w:customStyle="1" w:styleId="BezmezerChar">
    <w:name w:val="Bez mezer Char"/>
    <w:basedOn w:val="Standardnpsmoodstavce"/>
    <w:link w:val="Bezmezer"/>
    <w:uiPriority w:val="19"/>
    <w:rsid w:val="00B71150"/>
    <w:rPr>
      <w:rFonts w:eastAsia="Calibri" w:cs="Arial"/>
      <w:kern w:val="0"/>
      <w:szCs w:val="20"/>
      <w14:ligatures w14:val="none"/>
    </w:rPr>
  </w:style>
  <w:style w:type="character" w:customStyle="1" w:styleId="OdrkaneslChar">
    <w:name w:val="Odrážka nečísl. Char"/>
    <w:basedOn w:val="Standardnpsmoodstavce"/>
    <w:link w:val="Odrkanesl"/>
    <w:uiPriority w:val="9"/>
    <w:rsid w:val="00F36D7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889905">
      <w:bodyDiv w:val="1"/>
      <w:marLeft w:val="0"/>
      <w:marRight w:val="0"/>
      <w:marTop w:val="0"/>
      <w:marBottom w:val="0"/>
      <w:divBdr>
        <w:top w:val="none" w:sz="0" w:space="0" w:color="auto"/>
        <w:left w:val="none" w:sz="0" w:space="0" w:color="auto"/>
        <w:bottom w:val="none" w:sz="0" w:space="0" w:color="auto"/>
        <w:right w:val="none" w:sz="0" w:space="0" w:color="auto"/>
      </w:divBdr>
    </w:div>
    <w:div w:id="1070233542">
      <w:bodyDiv w:val="1"/>
      <w:marLeft w:val="0"/>
      <w:marRight w:val="0"/>
      <w:marTop w:val="0"/>
      <w:marBottom w:val="0"/>
      <w:divBdr>
        <w:top w:val="none" w:sz="0" w:space="0" w:color="auto"/>
        <w:left w:val="none" w:sz="0" w:space="0" w:color="auto"/>
        <w:bottom w:val="none" w:sz="0" w:space="0" w:color="auto"/>
        <w:right w:val="none" w:sz="0" w:space="0" w:color="auto"/>
      </w:divBdr>
    </w:div>
    <w:div w:id="1277903268">
      <w:bodyDiv w:val="1"/>
      <w:marLeft w:val="0"/>
      <w:marRight w:val="0"/>
      <w:marTop w:val="0"/>
      <w:marBottom w:val="0"/>
      <w:divBdr>
        <w:top w:val="none" w:sz="0" w:space="0" w:color="auto"/>
        <w:left w:val="none" w:sz="0" w:space="0" w:color="auto"/>
        <w:bottom w:val="none" w:sz="0" w:space="0" w:color="auto"/>
        <w:right w:val="none" w:sz="0" w:space="0" w:color="auto"/>
      </w:divBdr>
    </w:div>
    <w:div w:id="1499466394">
      <w:bodyDiv w:val="1"/>
      <w:marLeft w:val="0"/>
      <w:marRight w:val="0"/>
      <w:marTop w:val="0"/>
      <w:marBottom w:val="0"/>
      <w:divBdr>
        <w:top w:val="none" w:sz="0" w:space="0" w:color="auto"/>
        <w:left w:val="none" w:sz="0" w:space="0" w:color="auto"/>
        <w:bottom w:val="none" w:sz="0" w:space="0" w:color="auto"/>
        <w:right w:val="none" w:sz="0" w:space="0" w:color="auto"/>
      </w:divBdr>
    </w:div>
    <w:div w:id="151063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enderarena.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arek.stowasser@karolas.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enderarena.cz/profily/FZ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nderarena.cz/profily/FZU" TargetMode="External"/><Relationship Id="rId5" Type="http://schemas.openxmlformats.org/officeDocument/2006/relationships/styles" Target="styles.xml"/><Relationship Id="rId15" Type="http://schemas.openxmlformats.org/officeDocument/2006/relationships/hyperlink" Target="http://www.fen.cz" TargetMode="External"/><Relationship Id="rId10" Type="http://schemas.openxmlformats.org/officeDocument/2006/relationships/hyperlink" Target="http://www.e-zakazky.cz/Profil-Zadavatele/74e987e1-b4a1-4571-b8b6-2cd93fe6f932"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nderaren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Props1.xml><?xml version="1.0" encoding="utf-8"?>
<ds:datastoreItem xmlns:ds="http://schemas.openxmlformats.org/officeDocument/2006/customXml" ds:itemID="{A20F02F7-1E6F-4F01-A943-B72ABDFC9E4B}">
  <ds:schemaRefs>
    <ds:schemaRef ds:uri="http://schemas.microsoft.com/sharepoint/v3/contenttype/forms"/>
  </ds:schemaRefs>
</ds:datastoreItem>
</file>

<file path=customXml/itemProps2.xml><?xml version="1.0" encoding="utf-8"?>
<ds:datastoreItem xmlns:ds="http://schemas.openxmlformats.org/officeDocument/2006/customXml" ds:itemID="{E5AC1A71-3C68-42EE-A26A-A8E171DC2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ACDBA-8927-4131-BF18-5E051C861F18}">
  <ds:schemaRefs>
    <ds:schemaRef ds:uri="http://schemas.microsoft.com/office/2006/documentManagement/types"/>
    <ds:schemaRef ds:uri="da610b31-3ce7-4119-9dd0-82ede7636467"/>
    <ds:schemaRef ds:uri="http://www.w3.org/XML/1998/namespace"/>
    <ds:schemaRef ds:uri="7a5feb10-646c-4d0a-80b1-8c09b104fe53"/>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4105</Words>
  <Characters>24222</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KAROLAS</dc:creator>
  <cp:keywords/>
  <dc:description/>
  <cp:lastModifiedBy>Magdaléna Mastná</cp:lastModifiedBy>
  <cp:revision>8</cp:revision>
  <cp:lastPrinted>2024-11-22T11:02:00Z</cp:lastPrinted>
  <dcterms:created xsi:type="dcterms:W3CDTF">2024-11-11T09:38:00Z</dcterms:created>
  <dcterms:modified xsi:type="dcterms:W3CDTF">2024-12-10T14:19:00Z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