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bookmarkStart w:id="0" w:name="_GoBack"/>
      <w:bookmarkEnd w:id="0"/>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DD3501" w:rsidRPr="00DD3501">
        <w:rPr>
          <w:rFonts w:eastAsia="Calibri"/>
          <w:lang w:eastAsia="en-US"/>
        </w:rPr>
        <w:t>RNDr. Micha</w:t>
      </w:r>
      <w:r w:rsidR="00B133A2">
        <w:rPr>
          <w:rFonts w:eastAsia="Calibri"/>
          <w:lang w:eastAsia="en-US"/>
        </w:rPr>
        <w:t>e</w:t>
      </w:r>
      <w:r w:rsidR="00DD3501" w:rsidRPr="00DD3501">
        <w:rPr>
          <w:rFonts w:eastAsia="Calibri"/>
          <w:lang w:eastAsia="en-US"/>
        </w:rPr>
        <w:t>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E4699B" w:rsidP="00E4699B">
      <w:pPr>
        <w:widowControl w:val="0"/>
        <w:numPr>
          <w:ilvl w:val="0"/>
          <w:numId w:val="21"/>
        </w:numPr>
        <w:spacing w:line="276" w:lineRule="auto"/>
        <w:ind w:left="709" w:hanging="709"/>
        <w:rPr>
          <w:rFonts w:eastAsia="Calibri"/>
          <w:lang w:val="en-US" w:eastAsia="en-US"/>
        </w:rPr>
      </w:pPr>
      <w:r w:rsidRPr="00BF276B">
        <w:rPr>
          <w:rFonts w:eastAsia="Calibri"/>
          <w:b/>
          <w:highlight w:val="yellow"/>
          <w:lang w:val="en-US" w:eastAsia="en-US"/>
        </w:rPr>
        <w:t>__________________________________</w:t>
      </w:r>
      <w:r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Programme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projects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6 Coll., on public procurement, and Rules for the Selection of Suppliers within the Operational Programme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AB0D0E" w:rsidRDefault="00E4699B" w:rsidP="00AB0D0E">
      <w:pPr>
        <w:pStyle w:val="Normln-sted"/>
        <w:rPr>
          <w:rFonts w:eastAsia="Times New Roman"/>
          <w:b/>
          <w:noProof/>
          <w:sz w:val="24"/>
          <w:szCs w:val="24"/>
          <w:lang w:eastAsia="cs-CZ"/>
        </w:rPr>
      </w:pPr>
      <w:r>
        <w:rPr>
          <w:lang w:val="en-US" w:eastAsia="en-US"/>
        </w:rPr>
        <w:t>The Seller’s bid for the public procurement entitled “</w:t>
      </w:r>
      <w:r w:rsidR="00AB0D0E" w:rsidRPr="00AB0D0E">
        <w:rPr>
          <w:rFonts w:eastAsia="Times New Roman"/>
          <w:i/>
          <w:noProof/>
          <w:sz w:val="24"/>
          <w:szCs w:val="24"/>
          <w:lang w:eastAsia="cs-CZ"/>
        </w:rPr>
        <w:t>Processing electronics for LUIS BPM system (Electron beam diagnostics)</w:t>
      </w:r>
      <w:r w:rsidR="0036114E" w:rsidRPr="00AB0D0E">
        <w:rPr>
          <w:rFonts w:eastAsia="Times New Roman"/>
          <w:i/>
          <w:noProof/>
          <w:sz w:val="24"/>
          <w:szCs w:val="24"/>
          <w:lang w:eastAsia="cs-CZ"/>
        </w:rPr>
        <w:t>”</w:t>
      </w:r>
      <w:r w:rsidRPr="00AB0D0E">
        <w:rPr>
          <w:lang w:val="en-US" w:eastAsia="en-US"/>
        </w:rPr>
        <w:t xml:space="preserve">, whose purpose was to procure the </w:t>
      </w:r>
      <w:r w:rsidR="00DF221E" w:rsidRPr="00AB0D0E">
        <w:rPr>
          <w:lang w:val="en-US" w:eastAsia="en-US"/>
        </w:rPr>
        <w:t>Objects</w:t>
      </w:r>
      <w:r w:rsidRPr="00AB0D0E">
        <w:rPr>
          <w:lang w:val="en-US" w:eastAsia="en-US"/>
        </w:rPr>
        <w:t xml:space="preserve"> of Purchase (“</w:t>
      </w:r>
      <w:r w:rsidRPr="00AB0D0E">
        <w:rPr>
          <w:b/>
          <w:lang w:val="en-US" w:eastAsia="en-US"/>
        </w:rPr>
        <w:t>Public Procurement</w:t>
      </w:r>
      <w:r w:rsidRPr="00AB0D0E">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Heading1"/>
        <w:numPr>
          <w:ilvl w:val="0"/>
          <w:numId w:val="22"/>
        </w:numPr>
        <w:rPr>
          <w:lang w:val="en-US" w:eastAsia="en-US"/>
        </w:rPr>
      </w:pPr>
      <w:r>
        <w:rPr>
          <w:lang w:val="en-US" w:eastAsia="en-US"/>
        </w:rPr>
        <w:lastRenderedPageBreak/>
        <w:t>basic provisions</w:t>
      </w:r>
    </w:p>
    <w:p w:rsidR="00E4699B" w:rsidRPr="00F43701" w:rsidRDefault="00E4699B" w:rsidP="0036114E">
      <w:pPr>
        <w:pStyle w:val="Heading2"/>
        <w:rPr>
          <w:lang w:val="en-US" w:eastAsia="en-US"/>
        </w:rPr>
      </w:pPr>
      <w:r>
        <w:rPr>
          <w:lang w:val="en-US" w:eastAsia="en-US"/>
        </w:rPr>
        <w:t xml:space="preserve">Under this Contract the Seller shall hand over to the Buyer </w:t>
      </w:r>
      <w:r w:rsidR="002F54DA">
        <w:rPr>
          <w:lang w:val="en-US" w:eastAsia="en-US"/>
        </w:rPr>
        <w:t>5 pieces of the cavity BPM processing units</w:t>
      </w:r>
      <w:r w:rsidR="0036114E" w:rsidRPr="0036114E">
        <w:rPr>
          <w:lang w:val="en-US" w:eastAsia="en-US"/>
        </w:rPr>
        <w:t xml:space="preserve"> </w:t>
      </w:r>
      <w:r>
        <w:rPr>
          <w:lang w:val="en-US" w:eastAsia="en-US"/>
        </w:rPr>
        <w:t>(</w:t>
      </w:r>
      <w:r w:rsidRPr="00F43701">
        <w:rPr>
          <w:lang w:val="en-US" w:eastAsia="en-US"/>
        </w:rPr>
        <w:t>including all accessories</w:t>
      </w:r>
      <w:r>
        <w:rPr>
          <w:lang w:val="en-US" w:eastAsia="en-US"/>
        </w:rPr>
        <w:t xml:space="preserve">) 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  </w:t>
      </w:r>
    </w:p>
    <w:p w:rsidR="00E4699B" w:rsidRPr="00180A33" w:rsidRDefault="00E4699B" w:rsidP="00731148">
      <w:pPr>
        <w:pStyle w:val="Heading2"/>
        <w:rPr>
          <w:lang w:val="en-US"/>
        </w:rPr>
      </w:pPr>
      <w:r>
        <w:rPr>
          <w:lang w:val="en-US"/>
        </w:rPr>
        <w:t>Under this Contract the Seller shall also</w:t>
      </w:r>
      <w:r w:rsidRPr="00BF276B">
        <w:rPr>
          <w:lang w:val="en-US"/>
        </w:rPr>
        <w:t>:</w:t>
      </w:r>
    </w:p>
    <w:p w:rsidR="00180A33" w:rsidRDefault="00180A33" w:rsidP="00DF221E">
      <w:pPr>
        <w:pStyle w:val="Heading4"/>
        <w:rPr>
          <w:lang w:val="en-US"/>
        </w:rPr>
      </w:pPr>
      <w:r w:rsidRPr="00180A33">
        <w:rPr>
          <w:lang w:val="en-US"/>
        </w:rPr>
        <w:t xml:space="preserve">transport the </w:t>
      </w:r>
      <w:r w:rsidR="00DF221E">
        <w:rPr>
          <w:lang w:val="en-US"/>
        </w:rPr>
        <w:t>Objects</w:t>
      </w:r>
      <w:r w:rsidRPr="00180A33">
        <w:rPr>
          <w:lang w:val="en-US"/>
        </w:rPr>
        <w:t xml:space="preserve"> of Purchase to the place of delivery</w:t>
      </w:r>
      <w:r w:rsidR="00DF221E">
        <w:rPr>
          <w:lang w:val="en-US"/>
        </w:rPr>
        <w:t xml:space="preserve">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E4699B" w:rsidRPr="005763DE" w:rsidRDefault="00E4699B" w:rsidP="005763DE">
      <w:pPr>
        <w:pStyle w:val="Heading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Heading4"/>
        <w:rPr>
          <w:lang w:val="en-US"/>
        </w:rPr>
      </w:pPr>
      <w:r>
        <w:rPr>
          <w:lang w:val="en-US"/>
        </w:rPr>
        <w:t xml:space="preserve">carry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Heading4"/>
        <w:rPr>
          <w:lang w:val="en-US"/>
        </w:rPr>
      </w:pPr>
      <w:r>
        <w:rPr>
          <w:lang w:val="en-US"/>
        </w:rPr>
        <w:t>cooperate with the Buyer during the performace of this Contract</w:t>
      </w:r>
      <w:r w:rsidR="00731148">
        <w:rPr>
          <w:lang w:val="en-US"/>
        </w:rPr>
        <w:t xml:space="preserve"> </w:t>
      </w:r>
    </w:p>
    <w:p w:rsidR="00E4699B" w:rsidRPr="00BF276B" w:rsidRDefault="00731148" w:rsidP="00AF5030">
      <w:pPr>
        <w:pStyle w:val="Heading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Heading1"/>
        <w:rPr>
          <w:lang w:val="en-US" w:eastAsia="en-US"/>
        </w:rPr>
      </w:pPr>
      <w:r>
        <w:rPr>
          <w:lang w:val="en-US" w:eastAsia="en-US"/>
        </w:rPr>
        <w:t>THe place of delivery</w:t>
      </w:r>
    </w:p>
    <w:p w:rsidR="00E4699B" w:rsidRPr="00BF276B" w:rsidRDefault="00E4699B" w:rsidP="005763DE">
      <w:pPr>
        <w:pStyle w:val="Heading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 xml:space="preserve">Fyzikální ústav AV ČR v.v.i/ELI beamlines, Průmyslová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Dolní Břežany, Czech Republic</w:t>
      </w:r>
      <w:r w:rsidR="005763DE">
        <w:rPr>
          <w:lang w:val="en-US" w:eastAsia="en-US"/>
        </w:rPr>
        <w:t>.</w:t>
      </w:r>
    </w:p>
    <w:p w:rsidR="00E4699B" w:rsidRPr="00E26EC0" w:rsidRDefault="00E4699B" w:rsidP="00E4699B">
      <w:pPr>
        <w:pStyle w:val="Heading1"/>
        <w:rPr>
          <w:lang w:val="en-US"/>
        </w:rPr>
      </w:pPr>
      <w:r>
        <w:rPr>
          <w:lang w:val="en-US"/>
        </w:rPr>
        <w:t>the time of delivery</w:t>
      </w:r>
    </w:p>
    <w:p w:rsidR="00E4699B" w:rsidRPr="006F22D7" w:rsidRDefault="0036114E" w:rsidP="00731148">
      <w:pPr>
        <w:pStyle w:val="Heading2"/>
        <w:numPr>
          <w:ilvl w:val="0"/>
          <w:numId w:val="0"/>
        </w:numPr>
        <w:ind w:left="624"/>
        <w:rPr>
          <w:lang w:val="en-US" w:eastAsia="en-US"/>
        </w:rPr>
      </w:pPr>
      <w:r>
        <w:rPr>
          <w:lang w:val="en-US" w:eastAsia="en-US"/>
        </w:rPr>
        <w:t xml:space="preserve">The Seller shall deliver the Objects of Purchase within </w:t>
      </w:r>
      <w:r w:rsidR="002F54DA">
        <w:rPr>
          <w:lang w:val="en-US" w:eastAsia="en-US"/>
        </w:rPr>
        <w:t>6 months from the effectiveness of this Contract</w:t>
      </w:r>
      <w:r w:rsidR="00731148">
        <w:rPr>
          <w:lang w:val="en-US" w:eastAsia="en-US"/>
        </w:rPr>
        <w:t>.</w:t>
      </w:r>
      <w:r w:rsidR="00DF221E">
        <w:rPr>
          <w:lang w:val="en-US" w:eastAsia="en-US"/>
        </w:rPr>
        <w:t xml:space="preserve"> </w:t>
      </w:r>
    </w:p>
    <w:p w:rsidR="00E4699B" w:rsidRPr="00BF276B" w:rsidRDefault="00E4699B" w:rsidP="00E4699B">
      <w:pPr>
        <w:pStyle w:val="Heading1"/>
        <w:rPr>
          <w:lang w:val="en-US" w:eastAsia="en-US"/>
        </w:rPr>
      </w:pPr>
      <w:r>
        <w:rPr>
          <w:lang w:val="en-US" w:eastAsia="en-US"/>
        </w:rPr>
        <w:t>The ownership right</w:t>
      </w:r>
    </w:p>
    <w:p w:rsidR="002067BC" w:rsidRDefault="00E4699B" w:rsidP="00E4699B">
      <w:pPr>
        <w:pStyle w:val="Heading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shall be transferred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Heading1"/>
        <w:rPr>
          <w:lang w:val="en-US" w:eastAsia="en-US"/>
        </w:rPr>
      </w:pPr>
      <w:r>
        <w:rPr>
          <w:lang w:val="en-US" w:eastAsia="en-US"/>
        </w:rPr>
        <w:t>price and payment terms</w:t>
      </w:r>
    </w:p>
    <w:p w:rsidR="005763DE" w:rsidRPr="005763DE" w:rsidRDefault="00E4699B" w:rsidP="005763DE">
      <w:pPr>
        <w:pStyle w:val="Heading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is </w:t>
      </w:r>
      <w:r>
        <w:rPr>
          <w:highlight w:val="yellow"/>
          <w:lang w:val="en-US" w:eastAsia="en-US"/>
        </w:rPr>
        <w:t>________________________</w:t>
      </w:r>
      <w:r w:rsidRPr="008D6C46">
        <w:rPr>
          <w:highlight w:val="yellow"/>
          <w:lang w:val="en-US" w:eastAsia="en-US"/>
        </w:rPr>
        <w:t>_</w:t>
      </w:r>
      <w:r w:rsidRPr="008D6C46">
        <w:rPr>
          <w:lang w:val="en-US" w:eastAsia="en-US"/>
        </w:rPr>
        <w:t xml:space="preserve">,- </w:t>
      </w:r>
      <w:r w:rsidR="0036114E">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Heading2"/>
        <w:rPr>
          <w:lang w:val="en-US" w:eastAsia="en-US"/>
        </w:rPr>
      </w:pPr>
      <w:r>
        <w:rPr>
          <w:lang w:val="en-US" w:eastAsia="en-US"/>
        </w:rPr>
        <w:t xml:space="preserve">The Purchase Price cannot be exceeded and includes all costs and expenses of the Seller related to the performance of this Contract. The Purchase Price includes, among others, all </w:t>
      </w:r>
      <w:r>
        <w:rPr>
          <w:lang w:val="en-US" w:eastAsia="en-US"/>
        </w:rPr>
        <w:lastRenderedPageBreak/>
        <w:t>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E4699B" w:rsidRPr="0070290E" w:rsidRDefault="00E4699B" w:rsidP="00862623">
      <w:pPr>
        <w:pStyle w:val="Heading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in </w:t>
      </w:r>
      <w:r w:rsidR="0036114E">
        <w:rPr>
          <w:lang w:val="en-US" w:eastAsia="en-US"/>
        </w:rPr>
        <w:t>EUR</w:t>
      </w:r>
      <w:r>
        <w:rPr>
          <w:lang w:val="en-US" w:eastAsia="en-US"/>
        </w:rPr>
        <w:t xml:space="preserve"> on the basis of a tax document – invoice, to the account of the Seller designated in the invoice. </w:t>
      </w:r>
      <w:r w:rsidR="00862623">
        <w:rPr>
          <w:lang w:val="en-US" w:eastAsia="en-US"/>
        </w:rPr>
        <w:t xml:space="preserve">The invoice may by issued by the Seller after the acceptance of the </w:t>
      </w:r>
      <w:r w:rsidR="00DF221E">
        <w:rPr>
          <w:lang w:val="en-US" w:eastAsia="en-US"/>
        </w:rPr>
        <w:t>Objects</w:t>
      </w:r>
      <w:r w:rsidR="00862623">
        <w:rPr>
          <w:lang w:val="en-US" w:eastAsia="en-US"/>
        </w:rPr>
        <w:t xml:space="preserve"> of Purchase by the </w:t>
      </w:r>
      <w:r w:rsidR="00DA212F">
        <w:rPr>
          <w:lang w:val="en-US" w:eastAsia="en-US"/>
        </w:rPr>
        <w:t>Buyer</w:t>
      </w:r>
      <w:r w:rsidRPr="0070290E">
        <w:rPr>
          <w:lang w:val="en-US" w:eastAsia="en-US"/>
        </w:rPr>
        <w:t xml:space="preserve">. </w:t>
      </w:r>
    </w:p>
    <w:p w:rsidR="00E4699B" w:rsidRPr="00BF276B" w:rsidRDefault="00E4699B" w:rsidP="00E4699B">
      <w:pPr>
        <w:pStyle w:val="Heading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Heading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Heading4"/>
        <w:numPr>
          <w:ilvl w:val="0"/>
          <w:numId w:val="35"/>
        </w:numPr>
        <w:ind w:left="1418" w:hanging="709"/>
        <w:rPr>
          <w:snapToGrid w:val="0"/>
          <w:lang w:val="en-US" w:eastAsia="en-US"/>
        </w:rPr>
      </w:pPr>
      <w:r w:rsidRPr="00180A33">
        <w:rPr>
          <w:snapToGrid w:val="0"/>
          <w:lang w:val="en-US" w:eastAsia="en-US"/>
        </w:rPr>
        <w:t>name and registered office of the Buyer,</w:t>
      </w:r>
    </w:p>
    <w:p w:rsidR="00E4699B" w:rsidRPr="00BF276B" w:rsidRDefault="00E4699B" w:rsidP="00E4699B">
      <w:pPr>
        <w:pStyle w:val="Heading4"/>
        <w:rPr>
          <w:snapToGrid w:val="0"/>
          <w:lang w:val="en-US" w:eastAsia="en-US"/>
        </w:rPr>
      </w:pPr>
      <w:r>
        <w:rPr>
          <w:snapToGrid w:val="0"/>
          <w:lang w:val="en-US" w:eastAsia="en-US"/>
        </w:rPr>
        <w:t>tax identification number of the Buyer</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name and registered office of the Seller</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tax identification number of the Seller</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registration number of the tax document</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the date of the issue of the tax document</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the date of the fulfilment of the Contract</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Heading4"/>
        <w:rPr>
          <w:snapToGrid w:val="0"/>
          <w:lang w:val="en-US" w:eastAsia="en-US"/>
        </w:rPr>
      </w:pPr>
      <w:r>
        <w:rPr>
          <w:snapToGrid w:val="0"/>
          <w:lang w:val="en-US" w:eastAsia="en-US"/>
        </w:rPr>
        <w:t xml:space="preserve">registration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Heading4"/>
        <w:rPr>
          <w:snapToGrid w:val="0"/>
          <w:lang w:val="en-US" w:eastAsia="en-US"/>
        </w:rPr>
      </w:pPr>
      <w:r>
        <w:rPr>
          <w:snapToGrid w:val="0"/>
          <w:lang w:val="en-US" w:eastAsia="en-US"/>
        </w:rPr>
        <w:t xml:space="preserve">declaration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Heading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Heading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rsidR="00E4699B" w:rsidRPr="00BF276B" w:rsidRDefault="00E4699B" w:rsidP="00E4699B">
      <w:pPr>
        <w:pStyle w:val="Heading1"/>
        <w:spacing w:before="0"/>
        <w:rPr>
          <w:lang w:val="en-US" w:eastAsia="en-US"/>
        </w:rPr>
      </w:pPr>
      <w:r>
        <w:rPr>
          <w:lang w:val="en-US" w:eastAsia="en-US"/>
        </w:rPr>
        <w:lastRenderedPageBreak/>
        <w:t>Seller’s duties</w:t>
      </w:r>
    </w:p>
    <w:p w:rsidR="00E4699B" w:rsidRPr="005763DE" w:rsidRDefault="00E4699B" w:rsidP="005763DE">
      <w:pPr>
        <w:pStyle w:val="Heading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are in compliance with this Contract including all its annexes and applicable legal (e.g. safety), technical and quality norms. </w:t>
      </w:r>
    </w:p>
    <w:p w:rsidR="00E4699B" w:rsidRPr="00BF276B" w:rsidRDefault="00E4699B" w:rsidP="00E4699B">
      <w:pPr>
        <w:pStyle w:val="Heading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Heading2"/>
        <w:rPr>
          <w:lang w:val="en-US" w:eastAsia="en-US"/>
        </w:rPr>
      </w:pPr>
      <w:r>
        <w:rPr>
          <w:lang w:val="en-US" w:eastAsia="en-US"/>
        </w:rPr>
        <w:t>All things necessary for the performance of this Contract shall procure the Seller, unless this Contract stipulates otherwise.</w:t>
      </w:r>
    </w:p>
    <w:p w:rsidR="00DF2BB7" w:rsidRPr="00DF2BB7" w:rsidRDefault="00E4699B" w:rsidP="00DF2BB7">
      <w:pPr>
        <w:pStyle w:val="Heading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Heading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Heading2"/>
        <w:rPr>
          <w:lang w:val="en-US"/>
        </w:rPr>
      </w:pPr>
      <w:r>
        <w:rPr>
          <w:lang w:val="en-US"/>
        </w:rPr>
        <w:t xml:space="preserve">The </w:t>
      </w:r>
      <w:r w:rsidR="00DF221E">
        <w:rPr>
          <w:lang w:val="en-US"/>
        </w:rPr>
        <w:t>Objects</w:t>
      </w:r>
      <w:r>
        <w:rPr>
          <w:lang w:val="en-US"/>
        </w:rPr>
        <w:t xml:space="preserve"> of Purchase shall be delivered to the place of delivery and handed over to the Buyer within the time stipulated in this Contract. </w:t>
      </w:r>
    </w:p>
    <w:p w:rsidR="00E4699B" w:rsidRPr="00E928A5" w:rsidRDefault="00E4699B" w:rsidP="00E928A5">
      <w:pPr>
        <w:pStyle w:val="Heading2"/>
        <w:rPr>
          <w:lang w:val="en-US"/>
        </w:rPr>
      </w:pPr>
      <w:r>
        <w:rPr>
          <w:lang w:val="en-US"/>
        </w:rPr>
        <w:t xml:space="preserve">If the Seller fails to duly carry out all Related Activities or if the </w:t>
      </w:r>
      <w:r w:rsidR="00DF221E">
        <w:rPr>
          <w:lang w:val="en-US"/>
        </w:rPr>
        <w:t>Objects</w:t>
      </w:r>
      <w:r>
        <w:rPr>
          <w:lang w:val="en-US"/>
        </w:rPr>
        <w:t xml:space="preserve"> of Purchase does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Heading1"/>
        <w:rPr>
          <w:lang w:val="en-US" w:eastAsia="en-US"/>
        </w:rPr>
      </w:pPr>
      <w:r>
        <w:rPr>
          <w:lang w:val="en-US" w:eastAsia="en-US"/>
        </w:rPr>
        <w:t>warranty</w:t>
      </w:r>
    </w:p>
    <w:p w:rsidR="00E4699B" w:rsidRPr="00BF276B" w:rsidRDefault="00E4699B" w:rsidP="00E4699B">
      <w:pPr>
        <w:pStyle w:val="Heading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of Purchase for the period of 24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Heading2"/>
        <w:rPr>
          <w:lang w:val="en-US" w:eastAsia="en-US"/>
        </w:rPr>
      </w:pPr>
      <w:r>
        <w:rPr>
          <w:lang w:val="en-US" w:eastAsia="en-US"/>
        </w:rPr>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Heading2"/>
        <w:rPr>
          <w:lang w:val="en-US" w:eastAsia="en-US"/>
        </w:rPr>
      </w:pPr>
      <w:r>
        <w:rPr>
          <w:lang w:val="en-US" w:eastAsia="en-US"/>
        </w:rPr>
        <w:lastRenderedPageBreak/>
        <w:t xml:space="preserve">The Seller shall remove defects that occur during the warranty period free of charge and in the terms stipulated in this Contract. </w:t>
      </w:r>
    </w:p>
    <w:p w:rsidR="00E4699B" w:rsidRPr="00BF276B" w:rsidRDefault="00E4699B" w:rsidP="00E4699B">
      <w:pPr>
        <w:pStyle w:val="Heading2"/>
        <w:rPr>
          <w:szCs w:val="20"/>
          <w:lang w:val="en-US" w:eastAsia="en-US"/>
        </w:rPr>
      </w:pPr>
      <w:r>
        <w:rPr>
          <w:snapToGrid w:val="0"/>
          <w:lang w:val="en-US" w:eastAsia="en-US"/>
        </w:rPr>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5763DE" w:rsidRDefault="00E4699B" w:rsidP="005763DE">
      <w:pPr>
        <w:pStyle w:val="Heading2"/>
        <w:rPr>
          <w:lang w:val="en-US" w:eastAsia="en-US"/>
        </w:rPr>
      </w:pPr>
      <w:r>
        <w:rPr>
          <w:lang w:val="en-US" w:eastAsia="en-US"/>
        </w:rPr>
        <w:t xml:space="preserve">The Buyer notifies defects in writing via e-mail. The Seller shall accept notifications of defects on the following e-mail address: </w:t>
      </w:r>
      <w:r w:rsidRPr="00BF276B">
        <w:rPr>
          <w:highlight w:val="yellow"/>
          <w:lang w:val="en-US" w:eastAsia="en-US"/>
        </w:rPr>
        <w:t>_________________________</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Heading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Heading4"/>
        <w:numPr>
          <w:ilvl w:val="0"/>
          <w:numId w:val="34"/>
        </w:numPr>
        <w:ind w:left="1418" w:hanging="709"/>
        <w:rPr>
          <w:lang w:val="en-US" w:eastAsia="en-US"/>
        </w:rPr>
      </w:pPr>
      <w:r w:rsidRPr="00180A33">
        <w:rPr>
          <w:lang w:val="en-US" w:eastAsia="en-US"/>
        </w:rPr>
        <w:t xml:space="preserve">ask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Heading4"/>
        <w:rPr>
          <w:lang w:val="en-US" w:eastAsia="en-US"/>
        </w:rPr>
      </w:pPr>
      <w:r>
        <w:rPr>
          <w:lang w:val="en-US" w:eastAsia="en-US"/>
        </w:rPr>
        <w:t>ask for the removal of the defect by repair, or</w:t>
      </w:r>
    </w:p>
    <w:p w:rsidR="00E4699B" w:rsidRPr="00BF276B" w:rsidRDefault="00E4699B" w:rsidP="00E4699B">
      <w:pPr>
        <w:pStyle w:val="Heading4"/>
        <w:rPr>
          <w:lang w:val="en-US" w:eastAsia="en-US"/>
        </w:rPr>
      </w:pPr>
      <w:r>
        <w:rPr>
          <w:lang w:val="en-US" w:eastAsia="en-US"/>
        </w:rPr>
        <w:t xml:space="preserve">ask for the reasonable reduction of the Purchase Price. </w:t>
      </w:r>
    </w:p>
    <w:p w:rsidR="00E4699B" w:rsidRPr="00BF276B" w:rsidRDefault="00E4699B" w:rsidP="00E4699B">
      <w:pPr>
        <w:pStyle w:val="Heading2"/>
        <w:numPr>
          <w:ilvl w:val="0"/>
          <w:numId w:val="0"/>
        </w:numPr>
        <w:ind w:left="624"/>
        <w:rPr>
          <w:lang w:val="en-US" w:eastAsia="en-US"/>
        </w:rPr>
      </w:pPr>
      <w:r>
        <w:rPr>
          <w:lang w:val="en-US" w:eastAsia="en-US"/>
        </w:rPr>
        <w:t xml:space="preserve">The choice among the above mentioned rights belongs to the </w:t>
      </w:r>
      <w:r w:rsidR="002428DE">
        <w:rPr>
          <w:lang w:val="en-US" w:eastAsia="en-US"/>
        </w:rPr>
        <w:t>Buyer</w:t>
      </w:r>
      <w:r w:rsidRPr="00BF276B">
        <w:rPr>
          <w:lang w:val="en-US" w:eastAsia="en-US"/>
        </w:rPr>
        <w:t>.</w:t>
      </w:r>
      <w:r w:rsidR="002F54DA">
        <w:rPr>
          <w:lang w:val="en-US" w:eastAsia="en-US"/>
        </w:rPr>
        <w:t xml:space="preserve"> The Buyer shall take into account the recommendation of the Seller.</w:t>
      </w:r>
      <w:r>
        <w:rPr>
          <w:lang w:val="en-US" w:eastAsia="en-US"/>
        </w:rPr>
        <w:t xml:space="preserve"> </w:t>
      </w:r>
    </w:p>
    <w:p w:rsidR="00E4699B" w:rsidRPr="003B60EC" w:rsidRDefault="00E4699B" w:rsidP="00E4699B">
      <w:pPr>
        <w:pStyle w:val="Heading2"/>
        <w:rPr>
          <w:lang w:val="en-US" w:eastAsia="en-US"/>
        </w:rPr>
      </w:pPr>
      <w:r>
        <w:rPr>
          <w:lang w:val="en-US" w:eastAsia="en-US"/>
        </w:rPr>
        <w:t>The Seller s</w:t>
      </w:r>
      <w:r w:rsidR="00F72485">
        <w:rPr>
          <w:lang w:val="en-US" w:eastAsia="en-US"/>
        </w:rPr>
        <w:t xml:space="preserve">hall remove the defect within </w:t>
      </w:r>
      <w:r w:rsidR="002F54DA">
        <w:rPr>
          <w:lang w:val="en-US" w:eastAsia="en-US"/>
        </w:rPr>
        <w:t>10 working days</w:t>
      </w:r>
      <w:r>
        <w:rPr>
          <w:lang w:val="en-US" w:eastAsia="en-US"/>
        </w:rPr>
        <w:t xml:space="preserve"> from its notification, unless Parties agree </w:t>
      </w:r>
      <w:r w:rsidR="002F54DA">
        <w:rPr>
          <w:lang w:val="en-US" w:eastAsia="en-US"/>
        </w:rPr>
        <w:t>otherwise due to the nature of the defect or special circumstances of the case</w:t>
      </w:r>
      <w:r>
        <w:rPr>
          <w:lang w:val="en-US" w:eastAsia="en-US"/>
        </w:rPr>
        <w:t>.</w:t>
      </w:r>
    </w:p>
    <w:p w:rsidR="00E4699B" w:rsidRPr="00BF276B" w:rsidRDefault="00E4699B" w:rsidP="00E4699B">
      <w:pPr>
        <w:pStyle w:val="Heading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rsidR="00E4699B" w:rsidRPr="00180A33" w:rsidRDefault="00E4699B" w:rsidP="00180A33">
      <w:pPr>
        <w:pStyle w:val="Heading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Heading2"/>
        <w:rPr>
          <w:lang w:val="en-US" w:eastAsia="en-US"/>
        </w:rPr>
      </w:pPr>
      <w:r>
        <w:rPr>
          <w:lang w:val="en-US" w:eastAsia="en-US"/>
        </w:rPr>
        <w:t xml:space="preserve">The warranty does not cover defects caused by unprofessional manipulation or by the failure to follow Seller’s instructions for the operation and maintanence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Heading1"/>
        <w:rPr>
          <w:lang w:val="en-US" w:eastAsia="en-US"/>
        </w:rPr>
      </w:pPr>
      <w:r>
        <w:rPr>
          <w:lang w:val="en-US" w:eastAsia="en-US"/>
        </w:rPr>
        <w:t>penalties</w:t>
      </w:r>
    </w:p>
    <w:p w:rsidR="00E4699B" w:rsidRPr="00BF276B" w:rsidRDefault="00E4699B" w:rsidP="00E4699B">
      <w:pPr>
        <w:pStyle w:val="Heading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contractual penalty in the amount of  </w:t>
      </w:r>
      <w:r w:rsidRPr="00BF276B">
        <w:rPr>
          <w:lang w:val="en-US" w:eastAsia="en-US"/>
        </w:rPr>
        <w:t xml:space="preserve">0,05%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Heading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w:t>
      </w:r>
      <w:r>
        <w:rPr>
          <w:lang w:val="en-US" w:eastAsia="en-US"/>
        </w:rPr>
        <w:lastRenderedPageBreak/>
        <w:t xml:space="preserve">right of the Buyer to damages even to the extent to which such damages exceeds the contractual penalty. </w:t>
      </w:r>
    </w:p>
    <w:p w:rsidR="002428DE" w:rsidRDefault="002428DE" w:rsidP="00E928A5">
      <w:pPr>
        <w:pStyle w:val="Heading2"/>
        <w:rPr>
          <w:lang w:val="en-US" w:eastAsia="en-US"/>
        </w:rPr>
      </w:pPr>
      <w:r>
        <w:rPr>
          <w:lang w:val="en-US" w:eastAsia="en-US"/>
        </w:rPr>
        <w:t xml:space="preserve">The total amount of contractual penalties imposed on the Seller shall not exceed </w:t>
      </w:r>
      <w:r w:rsidR="002F54DA">
        <w:rPr>
          <w:lang w:val="en-US" w:eastAsia="en-US"/>
        </w:rPr>
        <w:t>7</w:t>
      </w:r>
      <w:r>
        <w:rPr>
          <w:lang w:val="en-US" w:eastAsia="en-US"/>
        </w:rPr>
        <w:t>% of the Purchase Price.</w:t>
      </w:r>
    </w:p>
    <w:p w:rsidR="00E4699B" w:rsidRPr="00E928A5" w:rsidRDefault="00E4699B" w:rsidP="00E928A5">
      <w:pPr>
        <w:pStyle w:val="Heading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Heading1"/>
        <w:rPr>
          <w:lang w:val="en-US" w:eastAsia="en-US"/>
        </w:rPr>
      </w:pPr>
      <w:r>
        <w:rPr>
          <w:lang w:val="en-US" w:eastAsia="en-US"/>
        </w:rPr>
        <w:t>right of withdrawal</w:t>
      </w:r>
    </w:p>
    <w:p w:rsidR="00E4699B" w:rsidRPr="00BF276B" w:rsidRDefault="00E4699B" w:rsidP="00E4699B">
      <w:pPr>
        <w:pStyle w:val="Heading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Heading4"/>
        <w:numPr>
          <w:ilvl w:val="0"/>
          <w:numId w:val="40"/>
        </w:numPr>
        <w:ind w:left="1418" w:hanging="709"/>
        <w:rPr>
          <w:lang w:val="en-US" w:eastAsia="en-US"/>
        </w:rPr>
      </w:pPr>
      <w:r w:rsidRPr="002428DE">
        <w:rPr>
          <w:lang w:val="en-US" w:eastAsia="en-US"/>
        </w:rPr>
        <w:t xml:space="preserve">the Seller shall be in delay with the fulfilment of this Contract and </w:t>
      </w:r>
      <w:r w:rsidR="005D5730" w:rsidRPr="002428DE">
        <w:rPr>
          <w:lang w:val="en-US" w:eastAsia="en-US"/>
        </w:rPr>
        <w:t xml:space="preserve">such delay lasts more than </w:t>
      </w:r>
      <w:r w:rsidR="008940BC">
        <w:rPr>
          <w:lang w:val="en-US" w:eastAsia="en-US"/>
        </w:rPr>
        <w:t>2</w:t>
      </w:r>
      <w:r w:rsidRPr="002428DE">
        <w:rPr>
          <w:lang w:val="en-US" w:eastAsia="en-US"/>
        </w:rPr>
        <w:t xml:space="preserve"> weeks;</w:t>
      </w:r>
    </w:p>
    <w:p w:rsidR="00E4699B" w:rsidRPr="00BF276B" w:rsidRDefault="00E4699B" w:rsidP="00E4699B">
      <w:pPr>
        <w:pStyle w:val="Heading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Heading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E4699B" w:rsidRPr="00BF276B" w:rsidRDefault="00E4699B" w:rsidP="00E4699B">
      <w:pPr>
        <w:pStyle w:val="Heading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428DE">
        <w:rPr>
          <w:rFonts w:eastAsia="MS Gothic"/>
          <w:bCs/>
          <w:szCs w:val="26"/>
          <w:lang w:val="en-US" w:eastAsia="en-US"/>
        </w:rPr>
        <w:t>e preserved until the year 2033</w:t>
      </w:r>
      <w:r w:rsidRPr="00BF276B">
        <w:rPr>
          <w:rFonts w:eastAsia="MS Gothic"/>
          <w:bCs/>
          <w:szCs w:val="26"/>
          <w:lang w:val="en-US" w:eastAsia="en-US"/>
        </w:rPr>
        <w:t>.</w:t>
      </w:r>
      <w:r w:rsidR="00D45FCD">
        <w:rPr>
          <w:bCs/>
          <w:lang w:val="en-US"/>
        </w:rPr>
        <w:t xml:space="preserve"> </w:t>
      </w:r>
    </w:p>
    <w:p w:rsidR="005B7A83" w:rsidRDefault="005B7A83" w:rsidP="00E4699B">
      <w:pPr>
        <w:pStyle w:val="Heading1"/>
        <w:spacing w:before="0"/>
        <w:rPr>
          <w:lang w:val="en-US" w:eastAsia="en-US"/>
        </w:rPr>
      </w:pPr>
      <w:r>
        <w:rPr>
          <w:lang w:val="en-US" w:eastAsia="en-US"/>
        </w:rPr>
        <w:t>software and FPGA code</w:t>
      </w:r>
    </w:p>
    <w:p w:rsidR="005B7A83" w:rsidRPr="009A6A06" w:rsidRDefault="005B7A83" w:rsidP="009A6A06">
      <w:pPr>
        <w:pStyle w:val="Heading2"/>
        <w:numPr>
          <w:ilvl w:val="1"/>
          <w:numId w:val="22"/>
        </w:numPr>
        <w:rPr>
          <w:lang w:val="en-IE" w:eastAsia="en-US"/>
        </w:rPr>
      </w:pPr>
      <w:r w:rsidRPr="009A6A06">
        <w:rPr>
          <w:lang w:val="en-IE" w:eastAsia="en-US"/>
        </w:rPr>
        <w:t>The Seller grants to the Buyer a right to use the Software and FPGA Code</w:t>
      </w:r>
      <w:r w:rsidR="009A6A06">
        <w:rPr>
          <w:lang w:val="en-IE" w:eastAsia="en-US"/>
        </w:rPr>
        <w:t xml:space="preserve"> mentioned in the </w:t>
      </w:r>
      <w:r w:rsidR="009A6A06" w:rsidRPr="009A6A06">
        <w:rPr>
          <w:kern w:val="0"/>
          <w:lang w:val="en-IE" w:eastAsia="en-US"/>
        </w:rPr>
        <w:t>REQ-028236/A</w:t>
      </w:r>
      <w:r w:rsidRPr="009A6A06">
        <w:rPr>
          <w:lang w:val="en-IE" w:eastAsia="en-US"/>
        </w:rPr>
        <w:t xml:space="preserve"> </w:t>
      </w:r>
      <w:r w:rsidR="009A6A06">
        <w:rPr>
          <w:lang w:val="en-IE" w:eastAsia="en-US"/>
        </w:rPr>
        <w:t xml:space="preserve">of the </w:t>
      </w:r>
      <w:r w:rsidR="009A6A06" w:rsidRPr="009A6A06">
        <w:rPr>
          <w:u w:val="single"/>
          <w:lang w:val="en-IE" w:eastAsia="en-US"/>
        </w:rPr>
        <w:t>Annex 1</w:t>
      </w:r>
      <w:r w:rsidR="009A6A06">
        <w:rPr>
          <w:lang w:val="en-IE" w:eastAsia="en-US"/>
        </w:rPr>
        <w:t xml:space="preserve"> to this Contract </w:t>
      </w:r>
      <w:r w:rsidRPr="009A6A06">
        <w:rPr>
          <w:lang w:val="en-IE" w:eastAsia="en-US"/>
        </w:rPr>
        <w:t>(hereinafter referred to as the “</w:t>
      </w:r>
      <w:r w:rsidRPr="009A6A06">
        <w:rPr>
          <w:b/>
          <w:lang w:val="en-IE" w:eastAsia="en-US"/>
        </w:rPr>
        <w:t>Software</w:t>
      </w:r>
      <w:r w:rsidRPr="009A6A06">
        <w:rPr>
          <w:lang w:val="en-IE" w:eastAsia="en-US"/>
        </w:rPr>
        <w:t>”) in the original or modified version, in connection with other work or independently (“</w:t>
      </w:r>
      <w:r w:rsidRPr="009A6A06">
        <w:rPr>
          <w:b/>
          <w:lang w:val="en-IE" w:eastAsia="en-US"/>
        </w:rPr>
        <w:t>License</w:t>
      </w:r>
      <w:r w:rsidRPr="009A6A06">
        <w:rPr>
          <w:lang w:val="en-IE" w:eastAsia="en-US"/>
        </w:rPr>
        <w:t>”).</w:t>
      </w:r>
    </w:p>
    <w:p w:rsidR="005B7A83" w:rsidRPr="005B7A83" w:rsidRDefault="005B7A83" w:rsidP="005B7A83">
      <w:pPr>
        <w:numPr>
          <w:ilvl w:val="1"/>
          <w:numId w:val="22"/>
        </w:numPr>
        <w:rPr>
          <w:lang w:val="en-IE" w:eastAsia="en-US"/>
        </w:rPr>
      </w:pPr>
      <w:r w:rsidRPr="005B7A83">
        <w:rPr>
          <w:lang w:val="en-IE" w:eastAsia="en-US"/>
        </w:rPr>
        <w:t xml:space="preserve">License is granted </w:t>
      </w:r>
    </w:p>
    <w:p w:rsidR="005B7A83" w:rsidRPr="005B7A83" w:rsidRDefault="005B7A83" w:rsidP="005B7A83">
      <w:pPr>
        <w:numPr>
          <w:ilvl w:val="0"/>
          <w:numId w:val="42"/>
        </w:numPr>
        <w:tabs>
          <w:tab w:val="left" w:pos="68"/>
        </w:tabs>
        <w:spacing w:line="276" w:lineRule="auto"/>
        <w:ind w:left="1418" w:hanging="709"/>
        <w:outlineLvl w:val="3"/>
        <w:rPr>
          <w:lang w:val="en-IE" w:eastAsia="en-US"/>
        </w:rPr>
      </w:pPr>
      <w:r w:rsidRPr="005B7A83">
        <w:rPr>
          <w:lang w:val="en-IE" w:eastAsia="en-US"/>
        </w:rPr>
        <w:t>free of charge;</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lastRenderedPageBreak/>
        <w:t>as exclusive;</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 xml:space="preserve">for all manners of use within the meaning of the Section 12(4) of the </w:t>
      </w:r>
      <w:r>
        <w:rPr>
          <w:lang w:val="en-IE" w:eastAsia="en-US"/>
        </w:rPr>
        <w:t>act no. 121/2000 Coll., on copyright</w:t>
      </w:r>
      <w:r w:rsidRPr="005B7A83">
        <w:rPr>
          <w:lang w:val="en-IE" w:eastAsia="en-US"/>
        </w:rPr>
        <w:t>, as amended;</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without any time restriction;</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for the whole world (i.e. without any geographical restriction); and</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 xml:space="preserve">under the condition that the </w:t>
      </w:r>
      <w:r>
        <w:rPr>
          <w:lang w:val="en-IE" w:eastAsia="en-US"/>
        </w:rPr>
        <w:t>Buyer</w:t>
      </w:r>
      <w:r w:rsidRPr="005B7A83">
        <w:rPr>
          <w:lang w:val="en-IE" w:eastAsia="en-US"/>
        </w:rPr>
        <w:t xml:space="preserve"> is entitled not to use the License. </w:t>
      </w:r>
    </w:p>
    <w:p w:rsidR="005B7A83" w:rsidRPr="005B7A83" w:rsidRDefault="005B7A83" w:rsidP="005B7A83">
      <w:pPr>
        <w:numPr>
          <w:ilvl w:val="1"/>
          <w:numId w:val="22"/>
        </w:numPr>
        <w:rPr>
          <w:lang w:val="en-IE" w:eastAsia="en-US"/>
        </w:rPr>
      </w:pPr>
      <w:r w:rsidRPr="005B7A83">
        <w:rPr>
          <w:lang w:val="en-IE" w:eastAsia="en-US"/>
        </w:rPr>
        <w:t xml:space="preserve">The </w:t>
      </w:r>
      <w:r>
        <w:rPr>
          <w:lang w:val="en-IE" w:eastAsia="en-US"/>
        </w:rPr>
        <w:t>Seller</w:t>
      </w:r>
      <w:r w:rsidRPr="005B7A83">
        <w:rPr>
          <w:lang w:val="en-IE" w:eastAsia="en-US"/>
        </w:rPr>
        <w:t xml:space="preserve"> hereby grants permission to the </w:t>
      </w:r>
      <w:r>
        <w:rPr>
          <w:lang w:val="en-IE" w:eastAsia="en-US"/>
        </w:rPr>
        <w:t>Buyer</w:t>
      </w:r>
      <w:r w:rsidRPr="005B7A83">
        <w:rPr>
          <w:lang w:val="en-IE" w:eastAsia="en-US"/>
        </w:rPr>
        <w:t xml:space="preserve"> to change or modify the Software. </w:t>
      </w:r>
    </w:p>
    <w:p w:rsidR="005B7A83" w:rsidRPr="005B7A83" w:rsidRDefault="005B7A83" w:rsidP="005B7A83">
      <w:pPr>
        <w:numPr>
          <w:ilvl w:val="1"/>
          <w:numId w:val="22"/>
        </w:numPr>
        <w:rPr>
          <w:lang w:val="en-IE" w:eastAsia="en-US"/>
        </w:rPr>
      </w:pPr>
      <w:r w:rsidRPr="005B7A83">
        <w:rPr>
          <w:lang w:val="en-IE" w:eastAsia="en-US"/>
        </w:rPr>
        <w:t xml:space="preserve">The </w:t>
      </w:r>
      <w:r>
        <w:rPr>
          <w:lang w:val="en-IE" w:eastAsia="en-US"/>
        </w:rPr>
        <w:t>Seller</w:t>
      </w:r>
      <w:r w:rsidRPr="005B7A83">
        <w:rPr>
          <w:lang w:val="en-IE" w:eastAsia="en-US"/>
        </w:rPr>
        <w:t xml:space="preserve"> hereby represents and warrants to the </w:t>
      </w:r>
      <w:r>
        <w:rPr>
          <w:lang w:val="en-IE" w:eastAsia="en-US"/>
        </w:rPr>
        <w:t>Buyer</w:t>
      </w:r>
      <w:r w:rsidRPr="005B7A83">
        <w:rPr>
          <w:lang w:val="en-IE" w:eastAsia="en-US"/>
        </w:rPr>
        <w:t xml:space="preserve"> that:</w:t>
      </w:r>
    </w:p>
    <w:p w:rsidR="005B7A83" w:rsidRPr="005B7A83" w:rsidRDefault="005B7A83" w:rsidP="005B7A83">
      <w:pPr>
        <w:numPr>
          <w:ilvl w:val="0"/>
          <w:numId w:val="43"/>
        </w:numPr>
        <w:tabs>
          <w:tab w:val="left" w:pos="68"/>
        </w:tabs>
        <w:spacing w:line="276" w:lineRule="auto"/>
        <w:ind w:left="1418" w:hanging="709"/>
        <w:outlineLvl w:val="3"/>
        <w:rPr>
          <w:lang w:val="en-IE" w:eastAsia="en-US"/>
        </w:rPr>
      </w:pPr>
      <w:r w:rsidRPr="005B7A83">
        <w:rPr>
          <w:lang w:val="en-IE" w:eastAsia="en-US"/>
        </w:rPr>
        <w:t xml:space="preserve">the </w:t>
      </w:r>
      <w:r>
        <w:rPr>
          <w:lang w:val="en-IE" w:eastAsia="en-US"/>
        </w:rPr>
        <w:t>Seller</w:t>
      </w:r>
      <w:r w:rsidRPr="005B7A83">
        <w:rPr>
          <w:lang w:val="en-IE" w:eastAsia="en-US"/>
        </w:rPr>
        <w:t xml:space="preserve"> is entitled to use and enforce all author’s rights to Software, in particular if Software was created by employees or by more than one author, and, therefore, the </w:t>
      </w:r>
      <w:r>
        <w:rPr>
          <w:lang w:val="en-IE" w:eastAsia="en-US"/>
        </w:rPr>
        <w:t>Seller</w:t>
      </w:r>
      <w:r w:rsidRPr="005B7A83">
        <w:rPr>
          <w:lang w:val="en-IE" w:eastAsia="en-US"/>
        </w:rPr>
        <w:t xml:space="preserve"> received all consents and permissions from authors and ensured that the </w:t>
      </w:r>
      <w:r>
        <w:rPr>
          <w:lang w:val="en-IE" w:eastAsia="en-US"/>
        </w:rPr>
        <w:t>Buyer</w:t>
      </w:r>
      <w:r w:rsidRPr="005B7A83">
        <w:rPr>
          <w:lang w:val="en-IE" w:eastAsia="en-US"/>
        </w:rPr>
        <w:t xml:space="preserve"> may use the Software properly and without any disturbation;</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 xml:space="preserve">all rewards to the authors of Software were provided by the </w:t>
      </w:r>
      <w:r>
        <w:rPr>
          <w:lang w:val="en-IE" w:eastAsia="en-US"/>
        </w:rPr>
        <w:t>Seller</w:t>
      </w:r>
      <w:r w:rsidRPr="005B7A83">
        <w:rPr>
          <w:lang w:val="en-IE" w:eastAsia="en-US"/>
        </w:rPr>
        <w:t>;</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 xml:space="preserve">the </w:t>
      </w:r>
      <w:r>
        <w:rPr>
          <w:lang w:val="en-IE" w:eastAsia="en-US"/>
        </w:rPr>
        <w:t>Seller</w:t>
      </w:r>
      <w:r w:rsidRPr="005B7A83">
        <w:rPr>
          <w:lang w:val="en-IE" w:eastAsia="en-US"/>
        </w:rPr>
        <w:t xml:space="preserve"> did not grant license to Software to any other person in the extent that could disturb the License of the </w:t>
      </w:r>
      <w:r>
        <w:rPr>
          <w:lang w:val="en-IE" w:eastAsia="en-US"/>
        </w:rPr>
        <w:t>Buyer</w:t>
      </w:r>
      <w:r w:rsidRPr="005B7A83">
        <w:rPr>
          <w:lang w:val="en-IE" w:eastAsia="en-US"/>
        </w:rPr>
        <w:t>; and</w:t>
      </w:r>
    </w:p>
    <w:p w:rsidR="005B7A83" w:rsidRPr="005B7A83" w:rsidRDefault="005B7A83" w:rsidP="005B7A83">
      <w:pPr>
        <w:numPr>
          <w:ilvl w:val="0"/>
          <w:numId w:val="12"/>
        </w:numPr>
        <w:tabs>
          <w:tab w:val="left" w:pos="68"/>
          <w:tab w:val="num" w:pos="360"/>
        </w:tabs>
        <w:spacing w:line="276" w:lineRule="auto"/>
        <w:ind w:left="1418" w:hanging="709"/>
        <w:outlineLvl w:val="3"/>
        <w:rPr>
          <w:lang w:val="en-IE" w:eastAsia="en-US"/>
        </w:rPr>
      </w:pPr>
      <w:r w:rsidRPr="005B7A83">
        <w:rPr>
          <w:lang w:val="en-IE" w:eastAsia="en-US"/>
        </w:rPr>
        <w:t xml:space="preserve">the </w:t>
      </w:r>
      <w:r>
        <w:rPr>
          <w:lang w:val="en-IE" w:eastAsia="en-US"/>
        </w:rPr>
        <w:t>Seller</w:t>
      </w:r>
      <w:r w:rsidRPr="005B7A83">
        <w:rPr>
          <w:lang w:val="en-IE" w:eastAsia="en-US"/>
        </w:rPr>
        <w:t xml:space="preserve"> is entitled to grant License to the </w:t>
      </w:r>
      <w:r>
        <w:rPr>
          <w:lang w:val="en-IE" w:eastAsia="en-US"/>
        </w:rPr>
        <w:t>Buyer</w:t>
      </w:r>
      <w:r w:rsidRPr="005B7A83">
        <w:rPr>
          <w:lang w:val="en-IE" w:eastAsia="en-US"/>
        </w:rPr>
        <w:t xml:space="preserve"> in the extent specified in this Contract.</w:t>
      </w:r>
    </w:p>
    <w:p w:rsidR="00E4699B" w:rsidRPr="00BF276B" w:rsidRDefault="00E4699B" w:rsidP="00E4699B">
      <w:pPr>
        <w:pStyle w:val="Heading1"/>
        <w:spacing w:before="0"/>
        <w:rPr>
          <w:lang w:val="en-US" w:eastAsia="en-US"/>
        </w:rPr>
      </w:pPr>
      <w:r>
        <w:rPr>
          <w:lang w:val="en-US" w:eastAsia="en-US"/>
        </w:rPr>
        <w:t>Final provisions</w:t>
      </w:r>
    </w:p>
    <w:p w:rsidR="00E4699B" w:rsidRPr="00BF276B" w:rsidRDefault="00E4699B" w:rsidP="00E4699B">
      <w:pPr>
        <w:pStyle w:val="Heading2"/>
        <w:rPr>
          <w:lang w:val="en-US" w:eastAsia="en-US"/>
        </w:rPr>
      </w:pPr>
      <w:r>
        <w:rPr>
          <w:lang w:val="en-US" w:eastAsia="en-US"/>
        </w:rPr>
        <w:t>This Contract is governed by the laws of the Czech Republic, especially by the Civil Code.</w:t>
      </w:r>
    </w:p>
    <w:p w:rsidR="006A7E93" w:rsidRDefault="006A7E93" w:rsidP="006A7E93">
      <w:pPr>
        <w:pStyle w:val="Heading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Heading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Heading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Heading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Heading2"/>
        <w:rPr>
          <w:lang w:val="en-US" w:eastAsia="en-US"/>
        </w:rPr>
      </w:pPr>
      <w:r>
        <w:rPr>
          <w:lang w:val="en-US" w:eastAsia="en-US"/>
        </w:rPr>
        <w:t>All modifications and supplements of this Contract must be in writing.</w:t>
      </w:r>
    </w:p>
    <w:p w:rsidR="00E4699B" w:rsidRPr="00180A33" w:rsidRDefault="00E4699B" w:rsidP="00180A33">
      <w:pPr>
        <w:pStyle w:val="Heading2"/>
        <w:rPr>
          <w:lang w:val="en-US" w:eastAsia="en-US"/>
        </w:rPr>
      </w:pPr>
      <w:r>
        <w:rPr>
          <w:lang w:val="en-US" w:eastAsia="en-US"/>
        </w:rPr>
        <w:lastRenderedPageBreak/>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Heading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Heading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Heading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tblGrid>
      <w:tr w:rsidR="00E4699B" w:rsidRPr="00BF276B" w:rsidTr="002F54DA">
        <w:tc>
          <w:tcPr>
            <w:tcW w:w="4503"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2F54DA" w:rsidTr="002F54DA">
        <w:tc>
          <w:tcPr>
            <w:tcW w:w="4503" w:type="dxa"/>
            <w:hideMark/>
          </w:tcPr>
          <w:p w:rsidR="00E4699B" w:rsidRPr="00AB0D0E"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 xml:space="preserve">RNDr. </w:t>
            </w:r>
            <w:r w:rsidR="00DD3501" w:rsidRPr="00AB0D0E">
              <w:rPr>
                <w:rFonts w:ascii="Times New Roman" w:eastAsia="Calibri" w:hAnsi="Times New Roman"/>
                <w:szCs w:val="20"/>
                <w:lang w:val="en-US" w:eastAsia="en-US"/>
              </w:rPr>
              <w:t>Micha</w:t>
            </w:r>
            <w:r w:rsidR="002F54DA" w:rsidRPr="00AB0D0E">
              <w:rPr>
                <w:rFonts w:ascii="Times New Roman" w:eastAsia="Calibri" w:hAnsi="Times New Roman"/>
                <w:szCs w:val="20"/>
                <w:lang w:val="en-US" w:eastAsia="en-US"/>
              </w:rPr>
              <w:t>e</w:t>
            </w:r>
            <w:r w:rsidR="00DD3501" w:rsidRPr="00AB0D0E">
              <w:rPr>
                <w:rFonts w:ascii="Times New Roman" w:eastAsia="Calibri" w:hAnsi="Times New Roman"/>
                <w:szCs w:val="20"/>
                <w:lang w:val="en-US" w:eastAsia="en-US"/>
              </w:rPr>
              <w:t>l Prouza, Ph.D., director</w:t>
            </w:r>
          </w:p>
        </w:tc>
      </w:tr>
      <w:tr w:rsidR="00E4699B" w:rsidRPr="00BF276B" w:rsidTr="002F54DA">
        <w:tc>
          <w:tcPr>
            <w:tcW w:w="4503"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475" w:rsidRDefault="00402475" w:rsidP="00B237C7">
      <w:r>
        <w:separator/>
      </w:r>
    </w:p>
  </w:endnote>
  <w:endnote w:type="continuationSeparator" w:id="0">
    <w:p w:rsidR="00402475" w:rsidRDefault="00402475" w:rsidP="00B237C7">
      <w:r>
        <w:continuationSeparator/>
      </w:r>
    </w:p>
  </w:endnote>
  <w:endnote w:type="continuationNotice" w:id="1">
    <w:p w:rsidR="00402475" w:rsidRDefault="00402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Footer"/>
            <w:ind w:left="0"/>
          </w:pPr>
        </w:p>
      </w:tc>
      <w:tc>
        <w:tcPr>
          <w:tcW w:w="3095" w:type="dxa"/>
          <w:vAlign w:val="center"/>
        </w:tcPr>
        <w:p w:rsidR="004C627A" w:rsidRPr="0099593C" w:rsidRDefault="004C627A" w:rsidP="00E55C24">
          <w:pPr>
            <w:pStyle w:val="Footer"/>
            <w:ind w:left="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EF4BB0">
            <w:rPr>
              <w:rStyle w:val="PageNumber"/>
              <w:noProof/>
            </w:rPr>
            <w:t>5</w:t>
          </w:r>
          <w:r>
            <w:rPr>
              <w:rStyle w:val="PageNumber"/>
            </w:rPr>
            <w:fldChar w:fldCharType="end"/>
          </w:r>
          <w:r>
            <w:rPr>
              <w:rStyle w:val="PageNumber"/>
            </w:rPr>
            <w:t xml:space="preserve"> -</w:t>
          </w:r>
        </w:p>
      </w:tc>
      <w:tc>
        <w:tcPr>
          <w:tcW w:w="3096" w:type="dxa"/>
          <w:vAlign w:val="center"/>
        </w:tcPr>
        <w:p w:rsidR="004C627A" w:rsidRDefault="004C627A" w:rsidP="00E55C24">
          <w:pPr>
            <w:pStyle w:val="Footer"/>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475" w:rsidRDefault="00402475" w:rsidP="00B237C7">
      <w:r>
        <w:separator/>
      </w:r>
    </w:p>
  </w:footnote>
  <w:footnote w:type="continuationSeparator" w:id="0">
    <w:p w:rsidR="00402475" w:rsidRDefault="00402475" w:rsidP="00B237C7">
      <w:r>
        <w:continuationSeparator/>
      </w:r>
    </w:p>
  </w:footnote>
  <w:footnote w:type="continuationNotice" w:id="1">
    <w:p w:rsidR="00402475" w:rsidRDefault="00402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Header"/>
    </w:pPr>
    <w:r w:rsidRPr="00400D82">
      <w:rPr>
        <w:rFonts w:eastAsia="Times New Roman"/>
        <w:noProof/>
        <w:sz w:val="24"/>
        <w:szCs w:val="24"/>
        <w:lang w:val="en-US" w:eastAsia="en-US"/>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Header"/>
    </w:pPr>
  </w:p>
  <w:p w:rsidR="0086287F" w:rsidRDefault="0086287F" w:rsidP="0086287F">
    <w:pPr>
      <w:pStyle w:val="Header"/>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Index1"/>
      <w:lvlText w:val="[RQ%1]"/>
      <w:lvlJc w:val="left"/>
      <w:pPr>
        <w:ind w:left="720" w:hanging="363"/>
      </w:pPr>
      <w:rPr>
        <w:rFonts w:hint="default"/>
      </w:rPr>
    </w:lvl>
    <w:lvl w:ilvl="1">
      <w:start w:val="1"/>
      <w:numFmt w:val="decimal"/>
      <w:pStyle w:val="Index2"/>
      <w:lvlText w:val="[RQ%1.%2]"/>
      <w:lvlJc w:val="left"/>
      <w:pPr>
        <w:ind w:left="363" w:hanging="363"/>
      </w:pPr>
      <w:rPr>
        <w:rFonts w:hint="default"/>
        <w:b/>
      </w:rPr>
    </w:lvl>
    <w:lvl w:ilvl="2">
      <w:start w:val="1"/>
      <w:numFmt w:val="decimal"/>
      <w:pStyle w:val="Index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Heading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32C0"/>
    <w:rsid w:val="00274F28"/>
    <w:rsid w:val="00276090"/>
    <w:rsid w:val="00281430"/>
    <w:rsid w:val="0028475E"/>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2F54DA"/>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114E"/>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2475"/>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155C"/>
    <w:rsid w:val="00564662"/>
    <w:rsid w:val="0056757C"/>
    <w:rsid w:val="00571D53"/>
    <w:rsid w:val="005720C2"/>
    <w:rsid w:val="005749ED"/>
    <w:rsid w:val="00575B4F"/>
    <w:rsid w:val="005763DE"/>
    <w:rsid w:val="00583939"/>
    <w:rsid w:val="0059025B"/>
    <w:rsid w:val="00595656"/>
    <w:rsid w:val="005A650C"/>
    <w:rsid w:val="005A78F6"/>
    <w:rsid w:val="005A798A"/>
    <w:rsid w:val="005B25F2"/>
    <w:rsid w:val="005B7A83"/>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615A"/>
    <w:rsid w:val="008470EE"/>
    <w:rsid w:val="00847B4F"/>
    <w:rsid w:val="00851E20"/>
    <w:rsid w:val="00855CFD"/>
    <w:rsid w:val="00855FDE"/>
    <w:rsid w:val="00862623"/>
    <w:rsid w:val="0086287F"/>
    <w:rsid w:val="008641C7"/>
    <w:rsid w:val="00882463"/>
    <w:rsid w:val="00886F1E"/>
    <w:rsid w:val="0089020A"/>
    <w:rsid w:val="008940BC"/>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A6A06"/>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57D85"/>
    <w:rsid w:val="00A60B57"/>
    <w:rsid w:val="00A61CCD"/>
    <w:rsid w:val="00A649AF"/>
    <w:rsid w:val="00A64C71"/>
    <w:rsid w:val="00A700D8"/>
    <w:rsid w:val="00A75670"/>
    <w:rsid w:val="00A837A5"/>
    <w:rsid w:val="00A96632"/>
    <w:rsid w:val="00AA0266"/>
    <w:rsid w:val="00AB0D0E"/>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110A6"/>
    <w:rsid w:val="00B133A2"/>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24E4"/>
    <w:rsid w:val="00BE5563"/>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03F6"/>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E6D0D"/>
    <w:rsid w:val="00DF221E"/>
    <w:rsid w:val="00DF2BB7"/>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72482"/>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4BB0"/>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2"/>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aliases w:val="Requirement"/>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uiPriority w:val="99"/>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uiPriority w:val="99"/>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aliases w:val="Req level 1"/>
    <w:basedOn w:val="Normal"/>
    <w:next w:val="Normal"/>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Index2">
    <w:name w:val="index 2"/>
    <w:aliases w:val="Req level 2"/>
    <w:basedOn w:val="Normal"/>
    <w:next w:val="Normal"/>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Index3">
    <w:name w:val="index 3"/>
    <w:aliases w:val="Req level 3"/>
    <w:basedOn w:val="Normal"/>
    <w:next w:val="Normal"/>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TableNormal"/>
    <w:next w:val="TableGrid"/>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A9F"/>
    <w:rPr>
      <w:sz w:val="16"/>
      <w:szCs w:val="16"/>
    </w:rPr>
  </w:style>
  <w:style w:type="paragraph" w:styleId="CommentText">
    <w:name w:val="annotation text"/>
    <w:basedOn w:val="Normal"/>
    <w:link w:val="CommentTextChar"/>
    <w:uiPriority w:val="99"/>
    <w:semiHidden/>
    <w:unhideWhenUsed/>
    <w:rsid w:val="007A3A9F"/>
    <w:pPr>
      <w:spacing w:line="240" w:lineRule="auto"/>
    </w:pPr>
    <w:rPr>
      <w:sz w:val="20"/>
      <w:szCs w:val="20"/>
    </w:rPr>
  </w:style>
  <w:style w:type="character" w:customStyle="1" w:styleId="CommentTextChar">
    <w:name w:val="Comment Text Char"/>
    <w:basedOn w:val="DefaultParagraphFont"/>
    <w:link w:val="CommentText"/>
    <w:uiPriority w:val="99"/>
    <w:semiHidden/>
    <w:rsid w:val="007A3A9F"/>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7A3A9F"/>
    <w:rPr>
      <w:b/>
      <w:bCs/>
    </w:rPr>
  </w:style>
  <w:style w:type="character" w:customStyle="1" w:styleId="CommentSubjectChar">
    <w:name w:val="Comment Subject Char"/>
    <w:basedOn w:val="CommentTextChar"/>
    <w:link w:val="CommentSubject"/>
    <w:uiPriority w:val="99"/>
    <w:semiHidden/>
    <w:rsid w:val="007A3A9F"/>
    <w:rPr>
      <w:rFonts w:eastAsia="Batang"/>
      <w:b/>
      <w:bCs/>
      <w:lang w:val="en-GB" w:eastAsia="en-GB"/>
    </w:rPr>
  </w:style>
  <w:style w:type="paragraph" w:styleId="NoSpacing">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6365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1204-EE71-4E34-83B2-A149F8B2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2477</Words>
  <Characters>14123</Characters>
  <Application>Microsoft Office Word</Application>
  <DocSecurity>0</DocSecurity>
  <Lines>117</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16567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2020-02-27T22:22:00Z</dcterms:created>
  <dcterms:modified xsi:type="dcterms:W3CDTF">2020-02-27T22:22:00Z</dcterms:modified>
</cp:coreProperties>
</file>