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tblpY="1773"/>
        <w:tblW w:w="5000" w:type="pct"/>
        <w:tblLayout w:type="fixed"/>
        <w:tblLook w:val="00A0" w:firstRow="1" w:lastRow="0" w:firstColumn="1" w:lastColumn="0" w:noHBand="0" w:noVBand="0"/>
      </w:tblPr>
      <w:tblGrid>
        <w:gridCol w:w="2420"/>
        <w:gridCol w:w="8342"/>
      </w:tblGrid>
      <w:tr w:rsidR="00846BC1" w14:paraId="00FA2084" w14:textId="77777777" w:rsidTr="00D13D97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32DB" w14:textId="77777777" w:rsidR="00846BC1" w:rsidRDefault="005F4CC4" w:rsidP="00C721A9">
            <w:r>
              <w:rPr>
                <w:rFonts w:ascii="Calibri" w:hAnsi="Calibri"/>
                <w:b/>
                <w:i/>
                <w:iCs/>
                <w:sz w:val="16"/>
                <w:szCs w:val="16"/>
              </w:rPr>
              <w:t>Parametr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1D2A1" w14:textId="77777777" w:rsidR="00846BC1" w:rsidRDefault="005F4CC4" w:rsidP="00C721A9">
            <w:r>
              <w:rPr>
                <w:rFonts w:ascii="Calibri" w:hAnsi="Calibri"/>
                <w:b/>
                <w:i/>
                <w:iCs/>
                <w:sz w:val="16"/>
                <w:szCs w:val="16"/>
              </w:rPr>
              <w:t>Požadovaná hodnota</w:t>
            </w:r>
          </w:p>
        </w:tc>
      </w:tr>
      <w:tr w:rsidR="00846BC1" w14:paraId="79307BD1" w14:textId="77777777" w:rsidTr="00D13D97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1A02" w14:textId="77777777" w:rsidR="00846BC1" w:rsidRDefault="005F4CC4" w:rsidP="00C721A9">
            <w:r>
              <w:rPr>
                <w:rFonts w:ascii="Calibri" w:hAnsi="Calibri"/>
                <w:b/>
                <w:sz w:val="16"/>
                <w:szCs w:val="16"/>
              </w:rPr>
              <w:t>Uspořádání šasi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7F18" w14:textId="77777777" w:rsidR="00846BC1" w:rsidRDefault="005F4CC4" w:rsidP="00C721A9">
            <w:r>
              <w:rPr>
                <w:rFonts w:ascii="Calibri" w:hAnsi="Calibri"/>
                <w:sz w:val="16"/>
                <w:szCs w:val="16"/>
              </w:rPr>
              <w:t>2U, varianta rack, pro přístup ke všem komponentám serveru není nutné nářadí</w:t>
            </w:r>
          </w:p>
        </w:tc>
      </w:tr>
      <w:tr w:rsidR="00846BC1" w14:paraId="74F3918C" w14:textId="77777777" w:rsidTr="00D13D97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FD0B" w14:textId="77777777" w:rsidR="00846BC1" w:rsidRDefault="005F4CC4" w:rsidP="00C721A9">
            <w:r>
              <w:rPr>
                <w:rFonts w:ascii="Calibri" w:hAnsi="Calibri"/>
                <w:b/>
                <w:sz w:val="16"/>
                <w:szCs w:val="16"/>
              </w:rPr>
              <w:t>Diskové sloty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A77D2" w14:textId="77777777" w:rsidR="00846BC1" w:rsidRDefault="005F4CC4" w:rsidP="00C721A9">
            <w:r>
              <w:rPr>
                <w:rFonts w:ascii="Calibri" w:hAnsi="Calibri"/>
                <w:sz w:val="16"/>
                <w:szCs w:val="16"/>
              </w:rPr>
              <w:t>Min. 12x3,5“</w:t>
            </w:r>
          </w:p>
        </w:tc>
      </w:tr>
      <w:tr w:rsidR="00846BC1" w14:paraId="05FD2115" w14:textId="77777777" w:rsidTr="00D13D97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39508" w14:textId="77777777" w:rsidR="00846BC1" w:rsidRDefault="005F4CC4" w:rsidP="00C721A9">
            <w:r>
              <w:rPr>
                <w:rFonts w:ascii="Calibri" w:hAnsi="Calibri"/>
                <w:b/>
                <w:sz w:val="16"/>
                <w:szCs w:val="16"/>
              </w:rPr>
              <w:t>Podporované disky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92068" w14:textId="77777777" w:rsidR="00846BC1" w:rsidRDefault="005F4CC4" w:rsidP="00C721A9">
            <w:r>
              <w:rPr>
                <w:rFonts w:ascii="Calibri" w:hAnsi="Calibri"/>
                <w:sz w:val="16"/>
                <w:szCs w:val="16"/>
              </w:rPr>
              <w:t>HDD: SAS, NLSAS; SSD: SAS</w:t>
            </w:r>
          </w:p>
        </w:tc>
      </w:tr>
      <w:tr w:rsidR="00846BC1" w14:paraId="7CD4C0F2" w14:textId="77777777" w:rsidTr="00D13D97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ADA4D" w14:textId="77777777" w:rsidR="00846BC1" w:rsidRDefault="005F4CC4" w:rsidP="00C721A9">
            <w:r>
              <w:rPr>
                <w:rFonts w:ascii="Calibri" w:hAnsi="Calibri"/>
                <w:b/>
                <w:sz w:val="16"/>
                <w:szCs w:val="16"/>
              </w:rPr>
              <w:t>Šifrování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5943C" w14:textId="77777777" w:rsidR="00846BC1" w:rsidRDefault="005F4CC4" w:rsidP="00C721A9">
            <w:r>
              <w:rPr>
                <w:rFonts w:ascii="Calibri" w:hAnsi="Calibri"/>
                <w:sz w:val="16"/>
                <w:szCs w:val="16"/>
              </w:rPr>
              <w:t>Šifrování na úrovni fyzických disků HDD i SSD, certifikace podle  FIPS-140</w:t>
            </w:r>
          </w:p>
        </w:tc>
      </w:tr>
      <w:tr w:rsidR="00846BC1" w14:paraId="2401EC86" w14:textId="77777777" w:rsidTr="00D13D97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D90" w14:textId="77777777" w:rsidR="00846BC1" w:rsidRDefault="005F4CC4" w:rsidP="00C721A9">
            <w:r>
              <w:rPr>
                <w:rFonts w:ascii="Calibri" w:hAnsi="Calibri"/>
                <w:b/>
                <w:sz w:val="16"/>
                <w:szCs w:val="16"/>
              </w:rPr>
              <w:t>Požadovaná konfigurace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3F45A" w14:textId="77777777" w:rsidR="00846BC1" w:rsidRDefault="005F4CC4" w:rsidP="00C721A9">
            <w:r>
              <w:rPr>
                <w:rFonts w:ascii="Calibri" w:hAnsi="Calibri"/>
                <w:sz w:val="16"/>
                <w:szCs w:val="16"/>
              </w:rPr>
              <w:t>12 x 20 TB SAS</w:t>
            </w:r>
          </w:p>
        </w:tc>
      </w:tr>
      <w:tr w:rsidR="00846BC1" w14:paraId="67E76548" w14:textId="77777777" w:rsidTr="00D13D97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BA39F" w14:textId="77777777" w:rsidR="00846BC1" w:rsidRDefault="005F4CC4" w:rsidP="00C721A9">
            <w:r>
              <w:rPr>
                <w:rFonts w:asciiTheme="minorHAnsi" w:hAnsiTheme="minorHAnsi"/>
                <w:b/>
                <w:sz w:val="16"/>
                <w:szCs w:val="16"/>
              </w:rPr>
              <w:t>Podporovaný minimální počet disků (včetně expanzních boxů)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10DE4" w14:textId="77777777" w:rsidR="00846BC1" w:rsidRDefault="005F4CC4" w:rsidP="00C721A9">
            <w:r>
              <w:rPr>
                <w:rFonts w:ascii="Calibri" w:hAnsi="Calibri"/>
                <w:sz w:val="16"/>
                <w:szCs w:val="16"/>
              </w:rPr>
              <w:t>264 disků</w:t>
            </w:r>
          </w:p>
          <w:p w14:paraId="181E9283" w14:textId="77777777" w:rsidR="00846BC1" w:rsidRDefault="00846BC1" w:rsidP="00C721A9"/>
        </w:tc>
      </w:tr>
      <w:tr w:rsidR="00846BC1" w14:paraId="58B85FC3" w14:textId="77777777" w:rsidTr="00D13D97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5761D" w14:textId="77777777" w:rsidR="00846BC1" w:rsidRDefault="005F4CC4" w:rsidP="00C721A9">
            <w:r>
              <w:rPr>
                <w:rFonts w:ascii="Calibri" w:hAnsi="Calibri"/>
                <w:b/>
                <w:sz w:val="16"/>
                <w:szCs w:val="16"/>
              </w:rPr>
              <w:t>Řadiče (controllers)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11326" w14:textId="77777777" w:rsidR="00846BC1" w:rsidRDefault="005F4CC4" w:rsidP="00C721A9">
            <w:r>
              <w:rPr>
                <w:rFonts w:ascii="Calibri" w:hAnsi="Calibri"/>
                <w:sz w:val="16"/>
                <w:szCs w:val="16"/>
              </w:rPr>
              <w:t>Duální</w:t>
            </w:r>
          </w:p>
        </w:tc>
      </w:tr>
      <w:tr w:rsidR="00846BC1" w14:paraId="26386DBA" w14:textId="77777777" w:rsidTr="00D13D97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E9634" w14:textId="77777777" w:rsidR="00846BC1" w:rsidRDefault="005F4CC4" w:rsidP="00C721A9">
            <w:r>
              <w:rPr>
                <w:rFonts w:ascii="Calibri" w:hAnsi="Calibri"/>
                <w:b/>
                <w:sz w:val="16"/>
                <w:szCs w:val="16"/>
              </w:rPr>
              <w:t>Velikost cache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524FA" w14:textId="77777777" w:rsidR="00846BC1" w:rsidRDefault="005F4CC4" w:rsidP="00C721A9">
            <w:r>
              <w:rPr>
                <w:rFonts w:ascii="Calibri" w:hAnsi="Calibri"/>
                <w:sz w:val="16"/>
                <w:szCs w:val="16"/>
              </w:rPr>
              <w:t>Min. 16GB na řadič</w:t>
            </w:r>
          </w:p>
        </w:tc>
      </w:tr>
      <w:tr w:rsidR="00846BC1" w14:paraId="16482370" w14:textId="77777777" w:rsidTr="00D13D97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6496B" w14:textId="77777777" w:rsidR="00846BC1" w:rsidRDefault="005F4CC4" w:rsidP="00C721A9">
            <w:r>
              <w:rPr>
                <w:rFonts w:ascii="Calibri" w:hAnsi="Calibri"/>
                <w:b/>
                <w:sz w:val="16"/>
                <w:szCs w:val="16"/>
              </w:rPr>
              <w:t>Front-end konektivita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6757" w14:textId="77777777" w:rsidR="00846BC1" w:rsidRDefault="005F4CC4" w:rsidP="00C721A9">
            <w:r>
              <w:rPr>
                <w:rFonts w:asciiTheme="minorHAnsi" w:hAnsiTheme="minorHAnsi"/>
                <w:sz w:val="16"/>
                <w:szCs w:val="16"/>
              </w:rPr>
              <w:t>4x 2</w:t>
            </w:r>
            <w:r w:rsidRPr="00C721A9">
              <w:rPr>
                <w:rFonts w:asciiTheme="minorHAnsi" w:hAnsiTheme="minorHAnsi"/>
                <w:sz w:val="16"/>
                <w:szCs w:val="16"/>
                <w:lang w:val="pl-PL"/>
              </w:rPr>
              <w:t>5</w:t>
            </w:r>
            <w:r>
              <w:rPr>
                <w:rFonts w:asciiTheme="minorHAnsi" w:hAnsiTheme="minorHAnsi"/>
                <w:sz w:val="16"/>
                <w:szCs w:val="16"/>
              </w:rPr>
              <w:t>Gbit SFP28 na jeden řadič</w:t>
            </w:r>
          </w:p>
        </w:tc>
      </w:tr>
      <w:tr w:rsidR="00846BC1" w14:paraId="5F733BA0" w14:textId="77777777" w:rsidTr="00D13D97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4751" w14:textId="77777777" w:rsidR="00846BC1" w:rsidRDefault="005F4CC4" w:rsidP="00C721A9">
            <w:r>
              <w:rPr>
                <w:rFonts w:ascii="Calibri" w:hAnsi="Calibri"/>
                <w:b/>
                <w:sz w:val="16"/>
                <w:szCs w:val="16"/>
              </w:rPr>
              <w:t>Back-end konektivita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ECA5" w14:textId="77777777" w:rsidR="00846BC1" w:rsidRDefault="005F4CC4" w:rsidP="00C721A9">
            <w:r>
              <w:rPr>
                <w:rFonts w:ascii="Calibri" w:hAnsi="Calibri"/>
                <w:sz w:val="16"/>
                <w:szCs w:val="16"/>
              </w:rPr>
              <w:t>SAS 12Gbit</w:t>
            </w:r>
          </w:p>
        </w:tc>
      </w:tr>
      <w:tr w:rsidR="00846BC1" w14:paraId="7469C3F6" w14:textId="77777777" w:rsidTr="00D13D97">
        <w:trPr>
          <w:trHeight w:val="197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401D" w14:textId="77777777" w:rsidR="00846BC1" w:rsidRDefault="005F4CC4" w:rsidP="00C721A9">
            <w:r>
              <w:rPr>
                <w:rFonts w:asciiTheme="minorHAnsi" w:hAnsiTheme="minorHAnsi"/>
                <w:b/>
                <w:sz w:val="16"/>
                <w:szCs w:val="16"/>
              </w:rPr>
              <w:t>Podpora přímého připojení k serverům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F9450" w14:textId="77777777" w:rsidR="00846BC1" w:rsidRDefault="005F4CC4" w:rsidP="00C721A9">
            <w:r>
              <w:rPr>
                <w:rFonts w:asciiTheme="minorHAnsi" w:hAnsiTheme="minorHAnsi"/>
                <w:sz w:val="16"/>
                <w:szCs w:val="16"/>
              </w:rPr>
              <w:t>Ano</w:t>
            </w:r>
          </w:p>
        </w:tc>
      </w:tr>
      <w:tr w:rsidR="00846BC1" w14:paraId="1B4BB2FE" w14:textId="77777777" w:rsidTr="00D13D97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9ACC" w14:textId="77777777" w:rsidR="00846BC1" w:rsidRDefault="005F4CC4" w:rsidP="00C721A9">
            <w:r>
              <w:rPr>
                <w:rFonts w:asciiTheme="minorHAnsi" w:hAnsiTheme="minorHAnsi"/>
                <w:b/>
                <w:sz w:val="16"/>
                <w:szCs w:val="16"/>
              </w:rPr>
              <w:t>Napájení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24346" w14:textId="77777777" w:rsidR="00846BC1" w:rsidRDefault="005F4CC4" w:rsidP="00C721A9">
            <w:r>
              <w:rPr>
                <w:rFonts w:asciiTheme="minorHAnsi" w:hAnsiTheme="minorHAnsi"/>
                <w:sz w:val="16"/>
                <w:szCs w:val="16"/>
              </w:rPr>
              <w:t>Redundantní, minimálně 2 napájecí zdroje</w:t>
            </w:r>
          </w:p>
        </w:tc>
      </w:tr>
      <w:tr w:rsidR="00846BC1" w14:paraId="2D7447B9" w14:textId="77777777" w:rsidTr="00D13D97"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7697" w14:textId="77777777" w:rsidR="00846BC1" w:rsidRDefault="005F4CC4" w:rsidP="00C721A9">
            <w:r>
              <w:rPr>
                <w:rFonts w:asciiTheme="minorHAnsi" w:hAnsiTheme="minorHAnsi"/>
                <w:b/>
                <w:sz w:val="16"/>
                <w:szCs w:val="16"/>
              </w:rPr>
              <w:t>Geometrie RAID</w:t>
            </w:r>
          </w:p>
        </w:tc>
        <w:tc>
          <w:tcPr>
            <w:tcW w:w="8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612A" w14:textId="77777777" w:rsidR="00846BC1" w:rsidRDefault="005F4CC4" w:rsidP="00C721A9">
            <w:r>
              <w:rPr>
                <w:rFonts w:asciiTheme="minorHAnsi" w:hAnsiTheme="minorHAnsi"/>
                <w:sz w:val="16"/>
                <w:szCs w:val="16"/>
              </w:rPr>
              <w:t>0,1,5,6,10, distribuovaný RAID6</w:t>
            </w:r>
          </w:p>
        </w:tc>
      </w:tr>
      <w:tr w:rsidR="00846BC1" w14:paraId="1A485239" w14:textId="77777777" w:rsidTr="00D13D97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05846" w14:textId="77777777" w:rsidR="00846BC1" w:rsidRDefault="005F4CC4" w:rsidP="00C721A9">
            <w:r>
              <w:rPr>
                <w:rFonts w:ascii="Calibri" w:hAnsi="Calibri"/>
                <w:b/>
                <w:sz w:val="16"/>
                <w:szCs w:val="16"/>
              </w:rPr>
              <w:t>Virtuální disky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76DFC" w14:textId="77777777" w:rsidR="00846BC1" w:rsidRDefault="005F4CC4" w:rsidP="00C721A9">
            <w:r>
              <w:rPr>
                <w:rFonts w:ascii="Calibri" w:hAnsi="Calibri"/>
                <w:sz w:val="16"/>
                <w:szCs w:val="16"/>
              </w:rPr>
              <w:t>Maximální počet virtuálních disků na systém: min. 1024</w:t>
            </w:r>
          </w:p>
          <w:p w14:paraId="23C366B7" w14:textId="77777777" w:rsidR="00846BC1" w:rsidRDefault="005F4CC4" w:rsidP="00C721A9">
            <w:r>
              <w:rPr>
                <w:rFonts w:ascii="Calibri" w:hAnsi="Calibri"/>
                <w:sz w:val="16"/>
                <w:szCs w:val="16"/>
              </w:rPr>
              <w:t>Maximální velikost virtuálního disku: min. 128TiB</w:t>
            </w:r>
          </w:p>
        </w:tc>
      </w:tr>
      <w:tr w:rsidR="00846BC1" w14:paraId="56B42B86" w14:textId="77777777" w:rsidTr="00D13D97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72315" w14:textId="77777777" w:rsidR="00846BC1" w:rsidRDefault="005F4CC4" w:rsidP="00C721A9">
            <w:r>
              <w:rPr>
                <w:rFonts w:ascii="Calibri" w:hAnsi="Calibri"/>
                <w:b/>
                <w:sz w:val="16"/>
                <w:szCs w:val="16"/>
              </w:rPr>
              <w:t>Podpora SSD Read Only cache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9B651" w14:textId="77777777" w:rsidR="00846BC1" w:rsidRDefault="005F4CC4" w:rsidP="00C721A9">
            <w:r>
              <w:rPr>
                <w:rFonts w:ascii="Calibri" w:hAnsi="Calibri"/>
                <w:sz w:val="16"/>
                <w:szCs w:val="16"/>
              </w:rPr>
              <w:t>Ano</w:t>
            </w:r>
          </w:p>
        </w:tc>
      </w:tr>
      <w:tr w:rsidR="00846BC1" w14:paraId="31BADFEE" w14:textId="77777777" w:rsidTr="00D13D97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6954F" w14:textId="77777777" w:rsidR="00846BC1" w:rsidRDefault="005F4CC4" w:rsidP="00C721A9">
            <w:r>
              <w:rPr>
                <w:rFonts w:ascii="Calibri" w:hAnsi="Calibri"/>
                <w:b/>
                <w:sz w:val="16"/>
                <w:szCs w:val="16"/>
              </w:rPr>
              <w:t>Podpora replikace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EB8B" w14:textId="77777777" w:rsidR="00846BC1" w:rsidRDefault="005F4CC4" w:rsidP="00C721A9">
            <w:r>
              <w:rPr>
                <w:rFonts w:ascii="Calibri" w:hAnsi="Calibri"/>
                <w:sz w:val="16"/>
                <w:szCs w:val="16"/>
              </w:rPr>
              <w:t>Ano, IP i FC</w:t>
            </w:r>
          </w:p>
        </w:tc>
      </w:tr>
      <w:tr w:rsidR="00846BC1" w14:paraId="287BD368" w14:textId="77777777" w:rsidTr="00D13D97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7C49" w14:textId="77777777" w:rsidR="00846BC1" w:rsidRDefault="005F4CC4" w:rsidP="00C721A9">
            <w:r>
              <w:rPr>
                <w:rFonts w:ascii="Calibri" w:hAnsi="Calibri"/>
                <w:b/>
                <w:sz w:val="16"/>
                <w:szCs w:val="16"/>
              </w:rPr>
              <w:t>Tiering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D9A9" w14:textId="77777777" w:rsidR="00846BC1" w:rsidRDefault="005F4CC4" w:rsidP="00C721A9">
            <w:r>
              <w:rPr>
                <w:rFonts w:ascii="Calibri" w:hAnsi="Calibri"/>
                <w:sz w:val="16"/>
                <w:szCs w:val="16"/>
              </w:rPr>
              <w:t>Ano</w:t>
            </w:r>
          </w:p>
        </w:tc>
      </w:tr>
      <w:tr w:rsidR="00846BC1" w14:paraId="1C7C580C" w14:textId="77777777" w:rsidTr="00D13D97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9FA4C" w14:textId="77777777" w:rsidR="00846BC1" w:rsidRDefault="005F4CC4" w:rsidP="00C721A9">
            <w:r>
              <w:rPr>
                <w:rFonts w:ascii="Calibri" w:hAnsi="Calibri"/>
                <w:b/>
                <w:sz w:val="16"/>
                <w:szCs w:val="16"/>
              </w:rPr>
              <w:t>Podpora snapshotů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1452" w14:textId="77777777" w:rsidR="00846BC1" w:rsidRDefault="005F4CC4" w:rsidP="00C721A9">
            <w:r>
              <w:rPr>
                <w:rFonts w:ascii="Calibri" w:hAnsi="Calibri"/>
                <w:sz w:val="16"/>
                <w:szCs w:val="16"/>
              </w:rPr>
              <w:t>Ano, min. 512/pool</w:t>
            </w:r>
          </w:p>
        </w:tc>
      </w:tr>
      <w:tr w:rsidR="00846BC1" w14:paraId="30E2DC9C" w14:textId="77777777" w:rsidTr="00D13D97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780F" w14:textId="77777777" w:rsidR="00846BC1" w:rsidRDefault="005F4CC4" w:rsidP="00C721A9">
            <w:r>
              <w:rPr>
                <w:rFonts w:ascii="Calibri" w:hAnsi="Calibri"/>
                <w:b/>
                <w:sz w:val="16"/>
                <w:szCs w:val="16"/>
              </w:rPr>
              <w:t>Podporované operační systémy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CBE06" w14:textId="77777777" w:rsidR="00846BC1" w:rsidRDefault="005F4CC4" w:rsidP="00C721A9">
            <w:r>
              <w:rPr>
                <w:rFonts w:ascii="Calibri" w:hAnsi="Calibri"/>
                <w:sz w:val="16"/>
                <w:szCs w:val="16"/>
              </w:rPr>
              <w:t>Microsoft Windows Server 2016 a vyšší</w:t>
            </w:r>
          </w:p>
          <w:p w14:paraId="5D42DF91" w14:textId="77777777" w:rsidR="00846BC1" w:rsidRDefault="005F4CC4" w:rsidP="00C721A9">
            <w:r>
              <w:rPr>
                <w:rFonts w:ascii="Calibri" w:hAnsi="Calibri"/>
                <w:sz w:val="16"/>
                <w:szCs w:val="16"/>
              </w:rPr>
              <w:t>RedHat 7.8, 8.2 a vyšší</w:t>
            </w:r>
          </w:p>
          <w:p w14:paraId="6987B363" w14:textId="77777777" w:rsidR="00846BC1" w:rsidRDefault="005F4CC4" w:rsidP="00C721A9">
            <w:r>
              <w:rPr>
                <w:rFonts w:ascii="Calibri" w:hAnsi="Calibri"/>
                <w:sz w:val="16"/>
                <w:szCs w:val="16"/>
              </w:rPr>
              <w:t>SLES 12.4, 15.2 a vyšší</w:t>
            </w:r>
          </w:p>
          <w:p w14:paraId="15F9C485" w14:textId="77777777" w:rsidR="00846BC1" w:rsidRDefault="005F4CC4" w:rsidP="00C721A9">
            <w:r>
              <w:rPr>
                <w:rFonts w:ascii="Calibri" w:hAnsi="Calibri"/>
                <w:sz w:val="16"/>
                <w:szCs w:val="16"/>
              </w:rPr>
              <w:t>Citrix 7.x, 8.x</w:t>
            </w:r>
          </w:p>
          <w:p w14:paraId="29F4D6D8" w14:textId="77777777" w:rsidR="00846BC1" w:rsidRDefault="005F4CC4" w:rsidP="00C721A9">
            <w:r>
              <w:rPr>
                <w:rFonts w:ascii="Calibri" w:hAnsi="Calibri"/>
                <w:sz w:val="16"/>
                <w:szCs w:val="16"/>
              </w:rPr>
              <w:t>VMware vSphere 6.7, 7.0 a vyšší</w:t>
            </w:r>
          </w:p>
        </w:tc>
      </w:tr>
      <w:tr w:rsidR="00846BC1" w14:paraId="440A5B3B" w14:textId="77777777" w:rsidTr="00D13D97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612BC" w14:textId="77777777" w:rsidR="00846BC1" w:rsidRDefault="005F4CC4" w:rsidP="00C721A9">
            <w:r>
              <w:rPr>
                <w:rFonts w:ascii="Calibri" w:hAnsi="Calibri"/>
                <w:b/>
                <w:sz w:val="16"/>
                <w:szCs w:val="16"/>
              </w:rPr>
              <w:t>Podpora integrace do virtuálního prostředí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6367" w14:textId="77777777" w:rsidR="00846BC1" w:rsidRDefault="005F4CC4" w:rsidP="00C721A9">
            <w:r>
              <w:rPr>
                <w:rFonts w:ascii="Calibri" w:hAnsi="Calibri"/>
                <w:sz w:val="16"/>
                <w:szCs w:val="16"/>
              </w:rPr>
              <w:t>VMware vSphere, vCenter Server</w:t>
            </w:r>
          </w:p>
          <w:p w14:paraId="66E74D98" w14:textId="77777777" w:rsidR="00846BC1" w:rsidRDefault="005F4CC4" w:rsidP="00C721A9">
            <w:r>
              <w:rPr>
                <w:rFonts w:ascii="Calibri" w:hAnsi="Calibri"/>
                <w:sz w:val="16"/>
                <w:szCs w:val="16"/>
              </w:rPr>
              <w:t>SRM</w:t>
            </w:r>
          </w:p>
          <w:p w14:paraId="52989EA1" w14:textId="77777777" w:rsidR="00846BC1" w:rsidRDefault="005F4CC4" w:rsidP="00C721A9">
            <w:r>
              <w:rPr>
                <w:rFonts w:ascii="Calibri" w:hAnsi="Calibri"/>
                <w:sz w:val="16"/>
                <w:szCs w:val="16"/>
              </w:rPr>
              <w:t>Microsoft Hyper-V</w:t>
            </w:r>
          </w:p>
        </w:tc>
      </w:tr>
      <w:tr w:rsidR="00846BC1" w14:paraId="3A996F74" w14:textId="77777777" w:rsidTr="00D13D97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D0FB" w14:textId="77777777" w:rsidR="00846BC1" w:rsidRDefault="005F4CC4" w:rsidP="00C721A9">
            <w:r>
              <w:rPr>
                <w:rFonts w:ascii="Calibri" w:hAnsi="Calibri"/>
                <w:b/>
                <w:sz w:val="16"/>
                <w:szCs w:val="16"/>
              </w:rPr>
              <w:t>Management a vzdálená správa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1244" w14:textId="77777777" w:rsidR="00846BC1" w:rsidRDefault="005F4CC4" w:rsidP="00C721A9">
            <w:r>
              <w:rPr>
                <w:rFonts w:ascii="Calibri" w:hAnsi="Calibri"/>
                <w:sz w:val="16"/>
                <w:szCs w:val="16"/>
              </w:rPr>
              <w:t>HTML5 web rozhraní, bez nutnosti instalace dalšího software; CLI</w:t>
            </w:r>
          </w:p>
        </w:tc>
      </w:tr>
      <w:tr w:rsidR="00846BC1" w14:paraId="093BA5F3" w14:textId="77777777" w:rsidTr="00D13D97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8A30" w14:textId="77777777" w:rsidR="00846BC1" w:rsidRDefault="005F4CC4" w:rsidP="00C721A9">
            <w:r>
              <w:rPr>
                <w:rFonts w:ascii="Calibri" w:hAnsi="Calibri"/>
                <w:b/>
                <w:sz w:val="16"/>
                <w:szCs w:val="16"/>
              </w:rPr>
              <w:t>Licencování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30D23" w14:textId="77777777" w:rsidR="00846BC1" w:rsidRDefault="005F4CC4" w:rsidP="00C721A9">
            <w:r>
              <w:rPr>
                <w:rFonts w:ascii="Calibri" w:hAnsi="Calibri"/>
                <w:sz w:val="16"/>
                <w:szCs w:val="16"/>
              </w:rPr>
              <w:t>Všechny licence v ceně systému</w:t>
            </w:r>
          </w:p>
        </w:tc>
      </w:tr>
      <w:tr w:rsidR="00846BC1" w14:paraId="422F8930" w14:textId="77777777" w:rsidTr="00D13D97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8E60" w14:textId="77777777" w:rsidR="00846BC1" w:rsidRDefault="005F4CC4" w:rsidP="00C721A9">
            <w:pP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Kabely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D21E" w14:textId="77777777" w:rsidR="00846BC1" w:rsidRDefault="005F4CC4" w:rsidP="00C721A9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8x SFP28 to SFP28, 25GbE, pasivní, délka 5 metrů</w:t>
            </w:r>
          </w:p>
        </w:tc>
      </w:tr>
      <w:tr w:rsidR="00846BC1" w14:paraId="715F3C25" w14:textId="77777777" w:rsidTr="00D13D97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ECA6F" w14:textId="77777777" w:rsidR="00846BC1" w:rsidRDefault="00846BC1" w:rsidP="00C721A9">
            <w:pP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CF8E" w14:textId="77777777" w:rsidR="00846BC1" w:rsidRDefault="00846BC1" w:rsidP="00C721A9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</w:tr>
    </w:tbl>
    <w:p w14:paraId="36B904D7" w14:textId="658AB257" w:rsidR="00C721A9" w:rsidRDefault="00C721A9" w:rsidP="00C721A9">
      <w:pPr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V</w:t>
      </w:r>
      <w:r w:rsidRPr="00C721A9">
        <w:rPr>
          <w:b/>
          <w:bCs/>
          <w:iCs/>
          <w:szCs w:val="24"/>
        </w:rPr>
        <w:t>ýběrové řízení na veřejnou zakázku s názvem „</w:t>
      </w:r>
      <w:r w:rsidRPr="00C721A9">
        <w:rPr>
          <w:b/>
          <w:bCs/>
          <w:i/>
          <w:iCs/>
          <w:szCs w:val="24"/>
        </w:rPr>
        <w:t>Dodávka 2 datových uložišť“</w:t>
      </w:r>
      <w:r w:rsidRPr="00C721A9">
        <w:rPr>
          <w:b/>
          <w:bCs/>
          <w:iCs/>
          <w:szCs w:val="24"/>
        </w:rPr>
        <w:t xml:space="preserve"> </w:t>
      </w:r>
    </w:p>
    <w:p w14:paraId="1C4A4E85" w14:textId="5E060EB6" w:rsidR="00C721A9" w:rsidRDefault="00C721A9" w:rsidP="00C721A9">
      <w:pPr>
        <w:rPr>
          <w:b/>
          <w:bCs/>
          <w:iCs/>
          <w:szCs w:val="24"/>
        </w:rPr>
      </w:pPr>
      <w:r w:rsidRPr="00C721A9">
        <w:rPr>
          <w:b/>
          <w:bCs/>
          <w:iCs/>
          <w:szCs w:val="24"/>
        </w:rPr>
        <w:t>Objednavatel: Archeologick</w:t>
      </w:r>
      <w:r w:rsidRPr="00C721A9">
        <w:rPr>
          <w:rFonts w:hint="eastAsia"/>
          <w:b/>
          <w:bCs/>
          <w:iCs/>
          <w:szCs w:val="24"/>
        </w:rPr>
        <w:t>ý</w:t>
      </w:r>
      <w:r w:rsidRPr="00C721A9">
        <w:rPr>
          <w:b/>
          <w:bCs/>
          <w:iCs/>
          <w:szCs w:val="24"/>
        </w:rPr>
        <w:t xml:space="preserve"> </w:t>
      </w:r>
      <w:r w:rsidRPr="00C721A9">
        <w:rPr>
          <w:rFonts w:hint="eastAsia"/>
          <w:b/>
          <w:bCs/>
          <w:iCs/>
          <w:szCs w:val="24"/>
        </w:rPr>
        <w:t>ú</w:t>
      </w:r>
      <w:r w:rsidRPr="00C721A9">
        <w:rPr>
          <w:b/>
          <w:bCs/>
          <w:iCs/>
          <w:szCs w:val="24"/>
        </w:rPr>
        <w:t xml:space="preserve">stav AV </w:t>
      </w:r>
      <w:r w:rsidRPr="00C721A9">
        <w:rPr>
          <w:rFonts w:hint="eastAsia"/>
          <w:b/>
          <w:bCs/>
          <w:iCs/>
          <w:szCs w:val="24"/>
        </w:rPr>
        <w:t>Č</w:t>
      </w:r>
      <w:r w:rsidRPr="00C721A9">
        <w:rPr>
          <w:b/>
          <w:bCs/>
          <w:iCs/>
          <w:szCs w:val="24"/>
        </w:rPr>
        <w:t>R, v. v. i.</w:t>
      </w:r>
    </w:p>
    <w:p w14:paraId="2D052C31" w14:textId="77777777" w:rsidR="00C721A9" w:rsidRDefault="00C721A9" w:rsidP="00C721A9">
      <w:pPr>
        <w:rPr>
          <w:b/>
          <w:bCs/>
          <w:iCs/>
          <w:szCs w:val="24"/>
        </w:rPr>
      </w:pPr>
    </w:p>
    <w:p w14:paraId="6C671F9D" w14:textId="77777777" w:rsidR="00C721A9" w:rsidRDefault="00C721A9" w:rsidP="00C721A9">
      <w:pPr>
        <w:rPr>
          <w:b/>
          <w:bCs/>
          <w:iCs/>
          <w:szCs w:val="24"/>
        </w:rPr>
      </w:pPr>
    </w:p>
    <w:p w14:paraId="418A6B91" w14:textId="23C09CCA" w:rsidR="00C721A9" w:rsidRPr="00C721A9" w:rsidRDefault="00C721A9" w:rsidP="00C721A9">
      <w:pPr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Technická specifikace jednoho datového úložiště:</w:t>
      </w:r>
    </w:p>
    <w:sectPr w:rsidR="00C721A9" w:rsidRPr="00C721A9">
      <w:pgSz w:w="11906" w:h="16838"/>
      <w:pgMar w:top="567" w:right="567" w:bottom="567" w:left="567" w:header="0" w:footer="0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EA7E841" w16cex:dateUtc="2024-08-28T12:31:00Z"/>
  <w16cex:commentExtensible w16cex:durableId="2227A30E" w16cex:dateUtc="2024-08-28T12:28:00Z"/>
  <w16cex:commentExtensible w16cex:durableId="53549B35" w16cex:dateUtc="2024-08-28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EFB26ED" w16cid:durableId="2EA7E841"/>
  <w16cid:commentId w16cid:paraId="553018A1" w16cid:durableId="2227A30E"/>
  <w16cid:commentId w16cid:paraId="2F4BAC34" w16cid:durableId="53549B3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BC1"/>
    <w:rsid w:val="005F4CC4"/>
    <w:rsid w:val="00846BC1"/>
    <w:rsid w:val="00C721A9"/>
    <w:rsid w:val="00C81D0F"/>
    <w:rsid w:val="00D1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36C8"/>
  <w15:docId w15:val="{FBA816B2-0B01-4575-9A3F-91B5B6F9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uiPriority="0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25B"/>
    <w:rPr>
      <w:rFonts w:ascii="CG Times" w:eastAsia="Times New Roman" w:hAnsi="CG Times"/>
      <w:sz w:val="24"/>
      <w:szCs w:val="20"/>
      <w:lang w:val="cs-CZ" w:eastAsia="cs-CZ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1125B"/>
    <w:pPr>
      <w:keepNext/>
      <w:outlineLvl w:val="2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qFormat/>
    <w:locked/>
    <w:rsid w:val="00A1125B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item">
    <w:name w:val="item"/>
    <w:basedOn w:val="DefaultParagraphFont"/>
    <w:qFormat/>
    <w:rsid w:val="007F0D54"/>
  </w:style>
  <w:style w:type="character" w:customStyle="1" w:styleId="value">
    <w:name w:val="value"/>
    <w:basedOn w:val="DefaultParagraphFont"/>
    <w:qFormat/>
    <w:rsid w:val="007F0D54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Lucida Sans"/>
    </w:rPr>
  </w:style>
  <w:style w:type="paragraph" w:styleId="TOAHeading">
    <w:name w:val="toa heading"/>
    <w:basedOn w:val="Normal"/>
    <w:next w:val="Normal"/>
    <w:uiPriority w:val="99"/>
    <w:semiHidden/>
    <w:qFormat/>
    <w:rsid w:val="00A1125B"/>
    <w:pPr>
      <w:tabs>
        <w:tab w:val="left" w:pos="9000"/>
        <w:tab w:val="right" w:pos="9360"/>
      </w:tabs>
    </w:pPr>
    <w:rPr>
      <w:lang w:val="en-US"/>
    </w:rPr>
  </w:style>
  <w:style w:type="paragraph" w:styleId="ListParagraph">
    <w:name w:val="List Paragraph"/>
    <w:basedOn w:val="Normal"/>
    <w:uiPriority w:val="34"/>
    <w:qFormat/>
    <w:rsid w:val="00DB3442"/>
    <w:pPr>
      <w:ind w:left="720"/>
      <w:contextualSpacing/>
    </w:pPr>
  </w:style>
  <w:style w:type="paragraph" w:customStyle="1" w:styleId="Default">
    <w:name w:val="Default"/>
    <w:uiPriority w:val="99"/>
    <w:qFormat/>
    <w:rsid w:val="00A141E4"/>
    <w:rPr>
      <w:rFonts w:ascii="Arial" w:hAnsi="Arial" w:cs="Arial"/>
      <w:color w:val="000000"/>
      <w:sz w:val="24"/>
      <w:szCs w:val="24"/>
      <w:lang w:val="cs-CZ"/>
    </w:rPr>
  </w:style>
  <w:style w:type="paragraph" w:customStyle="1" w:styleId="Obsahtabulky">
    <w:name w:val="Obsah tabulky"/>
    <w:basedOn w:val="Normal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A1125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unhideWhenUsed/>
    <w:qFormat/>
    <w:rsid w:val="00C72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1A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1A9"/>
    <w:rPr>
      <w:rFonts w:ascii="CG Times" w:eastAsia="Times New Roman" w:hAnsi="CG Times"/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1A9"/>
    <w:rPr>
      <w:rFonts w:ascii="CG Times" w:eastAsia="Times New Roman" w:hAnsi="CG Times"/>
      <w:b/>
      <w:bCs/>
      <w:sz w:val="20"/>
      <w:szCs w:val="20"/>
      <w:lang w:val="cs-CZ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D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D97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8319B-959B-488D-9D59-C8A40900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Kminek</dc:creator>
  <cp:keywords>Minimum Restrictions No Restrictions</cp:keywords>
  <dc:description/>
  <cp:lastModifiedBy>Mgr. Tomáš Biem</cp:lastModifiedBy>
  <cp:revision>2</cp:revision>
  <dcterms:created xsi:type="dcterms:W3CDTF">2024-08-29T22:43:00Z</dcterms:created>
  <dcterms:modified xsi:type="dcterms:W3CDTF">2024-08-29T22:43:00Z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lClassification">
    <vt:lpwstr>No Restrictions</vt:lpwstr>
  </property>
  <property fmtid="{D5CDD505-2E9C-101B-9397-08002B2CF9AE}" pid="3" name="DellSubLabels">
    <vt:lpwstr/>
  </property>
  <property fmtid="{D5CDD505-2E9C-101B-9397-08002B2CF9AE}" pid="4" name="MSIP_Label_17cb76b2-10b8-4fe1-93d4-2202842406cd_Application">
    <vt:lpwstr>Microsoft Azure Information Protection</vt:lpwstr>
  </property>
  <property fmtid="{D5CDD505-2E9C-101B-9397-08002B2CF9AE}" pid="5" name="MSIP_Label_17cb76b2-10b8-4fe1-93d4-2202842406cd_Enabled">
    <vt:lpwstr>True</vt:lpwstr>
  </property>
  <property fmtid="{D5CDD505-2E9C-101B-9397-08002B2CF9AE}" pid="6" name="MSIP_Label_17cb76b2-10b8-4fe1-93d4-2202842406cd_Extended_MSFT_Method">
    <vt:lpwstr>Manual</vt:lpwstr>
  </property>
  <property fmtid="{D5CDD505-2E9C-101B-9397-08002B2CF9AE}" pid="7" name="MSIP_Label_17cb76b2-10b8-4fe1-93d4-2202842406cd_Name">
    <vt:lpwstr>External Public</vt:lpwstr>
  </property>
  <property fmtid="{D5CDD505-2E9C-101B-9397-08002B2CF9AE}" pid="8" name="MSIP_Label_17cb76b2-10b8-4fe1-93d4-2202842406cd_Owner">
    <vt:lpwstr>Martin_Joniak@Dell.com</vt:lpwstr>
  </property>
  <property fmtid="{D5CDD505-2E9C-101B-9397-08002B2CF9AE}" pid="9" name="MSIP_Label_17cb76b2-10b8-4fe1-93d4-2202842406cd_SetDate">
    <vt:lpwstr>2018-10-26T13:51:47.0348325Z</vt:lpwstr>
  </property>
  <property fmtid="{D5CDD505-2E9C-101B-9397-08002B2CF9AE}" pid="10" name="MSIP_Label_17cb76b2-10b8-4fe1-93d4-2202842406cd_SiteId">
    <vt:lpwstr>945c199a-83a2-4e80-9f8c-5a91be5752dd</vt:lpwstr>
  </property>
  <property fmtid="{D5CDD505-2E9C-101B-9397-08002B2CF9AE}" pid="11" name="MSIP_Label_3a23c400-78e7-4d42-982d-273adef68ef9_ActionId">
    <vt:lpwstr>7b82fca6-bee4-4ade-a089-3829ffe879ad</vt:lpwstr>
  </property>
  <property fmtid="{D5CDD505-2E9C-101B-9397-08002B2CF9AE}" pid="12" name="MSIP_Label_3a23c400-78e7-4d42-982d-273adef68ef9_ContentBits">
    <vt:lpwstr>0</vt:lpwstr>
  </property>
  <property fmtid="{D5CDD505-2E9C-101B-9397-08002B2CF9AE}" pid="13" name="MSIP_Label_3a23c400-78e7-4d42-982d-273adef68ef9_Enabled">
    <vt:lpwstr>true</vt:lpwstr>
  </property>
  <property fmtid="{D5CDD505-2E9C-101B-9397-08002B2CF9AE}" pid="14" name="MSIP_Label_3a23c400-78e7-4d42-982d-273adef68ef9_Method">
    <vt:lpwstr>Standard</vt:lpwstr>
  </property>
  <property fmtid="{D5CDD505-2E9C-101B-9397-08002B2CF9AE}" pid="15" name="MSIP_Label_3a23c400-78e7-4d42-982d-273adef68ef9_Name">
    <vt:lpwstr>3a23c400-78e7-4d42-982d-273adef68ef9</vt:lpwstr>
  </property>
  <property fmtid="{D5CDD505-2E9C-101B-9397-08002B2CF9AE}" pid="16" name="MSIP_Label_3a23c400-78e7-4d42-982d-273adef68ef9_SetDate">
    <vt:lpwstr>2021-10-15T06:43:52Z</vt:lpwstr>
  </property>
  <property fmtid="{D5CDD505-2E9C-101B-9397-08002B2CF9AE}" pid="17" name="MSIP_Label_3a23c400-78e7-4d42-982d-273adef68ef9_SiteId">
    <vt:lpwstr>7fe14ab6-8f5d-4139-84bf-cd8aed0ee6b9</vt:lpwstr>
  </property>
  <property fmtid="{D5CDD505-2E9C-101B-9397-08002B2CF9AE}" pid="18" name="TitusConfigVer">
    <vt:lpwstr>1.0EMEA</vt:lpwstr>
  </property>
  <property fmtid="{D5CDD505-2E9C-101B-9397-08002B2CF9AE}" pid="19" name="TitusGUID">
    <vt:lpwstr>3cb86de5-f51b-4e95-b14e-78cdae2661ee</vt:lpwstr>
  </property>
</Properties>
</file>