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77777777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Pr="00FA5E76">
        <w:rPr>
          <w:rFonts w:cstheme="minorHAnsi"/>
          <w:sz w:val="20"/>
          <w:szCs w:val="20"/>
        </w:rPr>
        <w:tab/>
        <w:t>město Jičín</w:t>
      </w:r>
    </w:p>
    <w:p w14:paraId="7F158B0F" w14:textId="69D86E5A" w:rsidR="002219D4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 xml:space="preserve">Název: </w:t>
      </w:r>
      <w:r w:rsidRPr="00FA5E76">
        <w:rPr>
          <w:rFonts w:cstheme="minorHAnsi"/>
          <w:sz w:val="20"/>
          <w:szCs w:val="20"/>
        </w:rPr>
        <w:tab/>
      </w:r>
      <w:r w:rsidR="00EA3260" w:rsidRPr="00A95DF3">
        <w:rPr>
          <w:b/>
          <w:bCs/>
          <w:sz w:val="20"/>
          <w:szCs w:val="20"/>
        </w:rPr>
        <w:t>Hřiště s umělým povrchem</w:t>
      </w:r>
      <w:r w:rsidR="00EA3260">
        <w:rPr>
          <w:sz w:val="24"/>
          <w:szCs w:val="24"/>
        </w:rPr>
        <w:t xml:space="preserve"> </w:t>
      </w:r>
      <w:r w:rsidR="00EA3260">
        <w:rPr>
          <w:rFonts w:cstheme="minorHAnsi"/>
          <w:b/>
          <w:bCs/>
          <w:sz w:val="20"/>
          <w:szCs w:val="20"/>
        </w:rPr>
        <w:t>III. ZŠ Poděbradova, Jičín</w:t>
      </w:r>
    </w:p>
    <w:p w14:paraId="09D94642" w14:textId="545C6425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77777777" w:rsidR="002219D4" w:rsidRPr="00FA5E76" w:rsidRDefault="002219D4" w:rsidP="002219D4">
      <w:pPr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Pr="00FA5E76">
        <w:rPr>
          <w:rFonts w:cstheme="minorHAnsi"/>
          <w:sz w:val="20"/>
          <w:szCs w:val="20"/>
        </w:rPr>
        <w:tab/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77777777" w:rsidR="002219D4" w:rsidRPr="00FA5E76" w:rsidRDefault="002219D4" w:rsidP="002219D4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Pr="00FA5E76">
        <w:rPr>
          <w:rFonts w:cstheme="minorHAnsi"/>
          <w:sz w:val="20"/>
          <w:szCs w:val="20"/>
        </w:rPr>
        <w:tab/>
      </w:r>
      <w:hyperlink r:id="rId7" w:history="1">
        <w:r w:rsidRPr="00FA5E76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FA5E76">
        <w:rPr>
          <w:rFonts w:cstheme="minorHAnsi"/>
          <w:sz w:val="20"/>
          <w:szCs w:val="20"/>
        </w:rPr>
        <w:tab/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D44146">
              <w:rPr>
                <w:rFonts w:ascii="Tahoma" w:hAnsi="Tahoma"/>
              </w:rPr>
            </w:r>
            <w:r w:rsidR="00D4414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D44146">
              <w:rPr>
                <w:rFonts w:ascii="Tahoma" w:hAnsi="Tahoma"/>
              </w:rPr>
            </w:r>
            <w:r w:rsidR="00D4414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D44146">
              <w:rPr>
                <w:rFonts w:ascii="Tahoma" w:hAnsi="Tahoma"/>
              </w:rPr>
            </w:r>
            <w:r w:rsidR="00D4414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D44146">
              <w:rPr>
                <w:rFonts w:ascii="Tahoma" w:hAnsi="Tahoma"/>
              </w:rPr>
            </w:r>
            <w:r w:rsidR="00D44146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FA5E76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D44146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D44146">
        <w:rPr>
          <w:rFonts w:cstheme="minorHAnsi"/>
          <w:b/>
          <w:bCs/>
          <w:sz w:val="20"/>
          <w:szCs w:val="20"/>
        </w:rPr>
        <w:t>oceněný soupis prací</w:t>
      </w:r>
    </w:p>
    <w:p w14:paraId="4C15A2F7" w14:textId="77777777" w:rsidR="00231DE9" w:rsidRPr="00D44146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D44146">
        <w:rPr>
          <w:rFonts w:cstheme="minorHAnsi"/>
          <w:b/>
          <w:bCs/>
          <w:sz w:val="20"/>
          <w:szCs w:val="20"/>
        </w:rPr>
        <w:t>smlouvu o dílo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A12D2D" w14:textId="77777777" w:rsidR="00EA3260" w:rsidRDefault="00EA3260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77777777" w:rsidR="00231DE9" w:rsidRPr="00AD23EC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3115948" w14:textId="77777777" w:rsidR="00302F8B" w:rsidRPr="002B6C43" w:rsidRDefault="00302F8B" w:rsidP="002B6C43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</w:p>
    <w:p w14:paraId="1B9AE54B" w14:textId="77777777" w:rsidR="00302F8B" w:rsidRPr="002B6C43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05B2253" w14:textId="77777777" w:rsidR="00302F8B" w:rsidRPr="002B6C43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2B6C43">
        <w:rPr>
          <w:rFonts w:cstheme="minorHAnsi"/>
          <w:color w:val="000000"/>
          <w:sz w:val="20"/>
          <w:szCs w:val="20"/>
        </w:rPr>
        <w:t>AZKY</w:t>
      </w:r>
      <w:r w:rsidRPr="002B6C43">
        <w:rPr>
          <w:rFonts w:cstheme="minorHAnsi"/>
          <w:color w:val="000000"/>
          <w:sz w:val="20"/>
          <w:szCs w:val="20"/>
        </w:rPr>
        <w:t xml:space="preserve"> jako</w:t>
      </w:r>
      <w:r w:rsidR="00FE0A25" w:rsidRPr="002B6C43">
        <w:rPr>
          <w:rFonts w:cstheme="minorHAnsi"/>
          <w:color w:val="000000"/>
          <w:sz w:val="20"/>
          <w:szCs w:val="20"/>
        </w:rPr>
        <w:t xml:space="preserve"> jeden z prostředků</w:t>
      </w:r>
      <w:r w:rsidRPr="002B6C43">
        <w:rPr>
          <w:rFonts w:cstheme="minorHAnsi"/>
          <w:color w:val="000000"/>
          <w:sz w:val="20"/>
          <w:szCs w:val="20"/>
        </w:rPr>
        <w:t xml:space="preserve"> komunikace ve výběrovém řízení, nestanoví-li zadavatel u konkrétního úkonu jinak,</w:t>
      </w:r>
    </w:p>
    <w:p w14:paraId="634086D8" w14:textId="77777777" w:rsidR="00186B58" w:rsidRPr="002B6C43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</w:t>
      </w:r>
      <w:r w:rsidR="002C26D2" w:rsidRPr="002B6C43">
        <w:rPr>
          <w:rFonts w:cstheme="minorHAnsi"/>
          <w:sz w:val="20"/>
          <w:szCs w:val="20"/>
        </w:rPr>
        <w:t xml:space="preserve"> si</w:t>
      </w:r>
      <w:r w:rsidRPr="002B6C43">
        <w:rPr>
          <w:rFonts w:cstheme="minorHAnsi"/>
          <w:sz w:val="20"/>
          <w:szCs w:val="20"/>
        </w:rPr>
        <w:t xml:space="preserve"> vědom toho, že </w:t>
      </w:r>
      <w:r w:rsidR="00FE0A25" w:rsidRPr="002B6C43">
        <w:rPr>
          <w:rFonts w:cstheme="minorHAnsi"/>
          <w:sz w:val="20"/>
          <w:szCs w:val="20"/>
        </w:rPr>
        <w:t xml:space="preserve">pokud </w:t>
      </w:r>
      <w:r w:rsidR="0056301D" w:rsidRPr="002B6C43">
        <w:rPr>
          <w:rFonts w:cstheme="minorHAnsi"/>
          <w:sz w:val="20"/>
          <w:szCs w:val="20"/>
        </w:rPr>
        <w:t xml:space="preserve">se rozhodne </w:t>
      </w:r>
      <w:r w:rsidR="00FE0A25" w:rsidRPr="002B6C43">
        <w:rPr>
          <w:rFonts w:cstheme="minorHAnsi"/>
          <w:sz w:val="20"/>
          <w:szCs w:val="20"/>
        </w:rPr>
        <w:t>použ</w:t>
      </w:r>
      <w:r w:rsidR="0056301D" w:rsidRPr="002B6C43">
        <w:rPr>
          <w:rFonts w:cstheme="minorHAnsi"/>
          <w:sz w:val="20"/>
          <w:szCs w:val="20"/>
        </w:rPr>
        <w:t>ít</w:t>
      </w:r>
      <w:r w:rsidR="00FE0A25" w:rsidRPr="002B6C43">
        <w:rPr>
          <w:rFonts w:cstheme="minorHAnsi"/>
          <w:sz w:val="20"/>
          <w:szCs w:val="20"/>
        </w:rPr>
        <w:t xml:space="preserve"> </w:t>
      </w:r>
      <w:r w:rsidR="0035040F" w:rsidRPr="002B6C43">
        <w:rPr>
          <w:rFonts w:cstheme="minorHAnsi"/>
          <w:sz w:val="20"/>
          <w:szCs w:val="20"/>
        </w:rPr>
        <w:t>pro podání nabídky elektronický nástroj</w:t>
      </w:r>
      <w:r w:rsidR="002C26D2" w:rsidRPr="002B6C43">
        <w:rPr>
          <w:rFonts w:cstheme="minorHAnsi"/>
          <w:sz w:val="20"/>
          <w:szCs w:val="20"/>
        </w:rPr>
        <w:t xml:space="preserve"> E-ZAKAZKY</w:t>
      </w:r>
      <w:r w:rsidR="00B00BF0" w:rsidRPr="002B6C43">
        <w:rPr>
          <w:rFonts w:cstheme="minorHAnsi"/>
          <w:sz w:val="20"/>
          <w:szCs w:val="20"/>
        </w:rPr>
        <w:t>,</w:t>
      </w:r>
      <w:r w:rsidR="0035040F" w:rsidRPr="002B6C43">
        <w:rPr>
          <w:rFonts w:cstheme="minorHAnsi"/>
          <w:sz w:val="20"/>
          <w:szCs w:val="20"/>
        </w:rPr>
        <w:t xml:space="preserve"> </w:t>
      </w:r>
      <w:r w:rsidRPr="002B6C43">
        <w:rPr>
          <w:rFonts w:cstheme="minorHAnsi"/>
          <w:sz w:val="20"/>
          <w:szCs w:val="20"/>
        </w:rPr>
        <w:t xml:space="preserve">registrace do </w:t>
      </w:r>
      <w:r w:rsidR="002C26D2" w:rsidRPr="002B6C43">
        <w:rPr>
          <w:rFonts w:cstheme="minorHAnsi"/>
          <w:sz w:val="20"/>
          <w:szCs w:val="20"/>
        </w:rPr>
        <w:t xml:space="preserve">tohoto </w:t>
      </w:r>
      <w:r w:rsidRPr="002B6C43">
        <w:rPr>
          <w:rFonts w:cstheme="minorHAnsi"/>
          <w:sz w:val="20"/>
          <w:szCs w:val="20"/>
        </w:rPr>
        <w:t>elektronického nástroje potrvá až 3 pracovní dny,</w:t>
      </w:r>
    </w:p>
    <w:p w14:paraId="3D81EB41" w14:textId="02241835" w:rsidR="00186B58" w:rsidRPr="002B6C43" w:rsidRDefault="00186B58" w:rsidP="00B705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6961F7AE" w14:textId="77777777" w:rsidR="00F86FB5" w:rsidRPr="00F86FB5" w:rsidRDefault="00F86FB5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6E67BD7A" w14:textId="77777777" w:rsidR="00F86FB5" w:rsidRPr="00773012" w:rsidRDefault="00F86FB5" w:rsidP="00F86FB5">
      <w:pPr>
        <w:pStyle w:val="Odstavecseseznamem"/>
        <w:spacing w:before="120" w:after="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773012">
        <w:rPr>
          <w:rFonts w:cstheme="minorHAnsi"/>
          <w:bCs/>
          <w:sz w:val="20"/>
          <w:szCs w:val="20"/>
        </w:rPr>
        <w:t>Obecné prohlášení zadavatele:</w:t>
      </w:r>
    </w:p>
    <w:p w14:paraId="1CDCE769" w14:textId="77777777" w:rsidR="00F86FB5" w:rsidRPr="00773012" w:rsidRDefault="00F86FB5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Město Jičín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61A664CF" w14:textId="77777777" w:rsidR="00F86FB5" w:rsidRPr="00773012" w:rsidRDefault="00F86FB5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477645D8" w14:textId="77777777" w:rsidR="00F86FB5" w:rsidRPr="00773012" w:rsidRDefault="00F86FB5" w:rsidP="00F86FB5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71126140"/>
      <w:bookmarkStart w:id="1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0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1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158177D8" w:rsidR="00860B96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="00E35204">
        <w:rPr>
          <w:rFonts w:cstheme="minorHAnsi"/>
          <w:sz w:val="20"/>
          <w:szCs w:val="20"/>
        </w:rPr>
        <w:t>.</w:t>
      </w:r>
    </w:p>
    <w:p w14:paraId="4DC40C87" w14:textId="65C3C758" w:rsidR="00E35204" w:rsidRPr="00E35204" w:rsidRDefault="00E35204" w:rsidP="00E3520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E35204">
        <w:rPr>
          <w:rFonts w:cstheme="minorHAnsi"/>
          <w:sz w:val="20"/>
          <w:szCs w:val="20"/>
        </w:rPr>
        <w:t xml:space="preserve">Hodnotící kritérium A: Celková cena za plnění zakázky za obě </w:t>
      </w:r>
      <w:r>
        <w:rPr>
          <w:rFonts w:cstheme="minorHAnsi"/>
          <w:sz w:val="20"/>
          <w:szCs w:val="20"/>
        </w:rPr>
        <w:t>hřiště</w:t>
      </w:r>
      <w:r w:rsidRPr="00E35204">
        <w:rPr>
          <w:rFonts w:cstheme="minorHAnsi"/>
          <w:sz w:val="20"/>
          <w:szCs w:val="20"/>
        </w:rPr>
        <w:t xml:space="preserve"> (85 %)</w:t>
      </w:r>
    </w:p>
    <w:p w14:paraId="6CC863E0" w14:textId="7B598E7E" w:rsidR="00E35204" w:rsidRPr="00E35204" w:rsidRDefault="00E35204" w:rsidP="00E3520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/>
        <w:ind w:left="426" w:hanging="284"/>
        <w:contextualSpacing w:val="0"/>
        <w:rPr>
          <w:rFonts w:cstheme="minorHAnsi"/>
          <w:sz w:val="20"/>
          <w:szCs w:val="20"/>
        </w:rPr>
      </w:pPr>
      <w:r w:rsidRPr="00E35204">
        <w:rPr>
          <w:rFonts w:cstheme="minorHAnsi"/>
          <w:sz w:val="20"/>
          <w:szCs w:val="20"/>
        </w:rPr>
        <w:t xml:space="preserve">Hodnotící kritérium B: Délka garantované záruční lhůty na </w:t>
      </w:r>
      <w:r>
        <w:rPr>
          <w:rFonts w:cstheme="minorHAnsi"/>
          <w:sz w:val="20"/>
          <w:szCs w:val="20"/>
        </w:rPr>
        <w:t xml:space="preserve">nové </w:t>
      </w:r>
      <w:r w:rsidRPr="00E35204">
        <w:rPr>
          <w:rFonts w:eastAsia="ArialMT" w:cstheme="minorHAnsi"/>
          <w:sz w:val="20"/>
          <w:szCs w:val="20"/>
        </w:rPr>
        <w:t>uměl</w:t>
      </w:r>
      <w:r>
        <w:rPr>
          <w:rFonts w:eastAsia="ArialMT" w:cstheme="minorHAnsi"/>
          <w:sz w:val="20"/>
          <w:szCs w:val="20"/>
        </w:rPr>
        <w:t>é</w:t>
      </w:r>
      <w:r w:rsidRPr="00E35204">
        <w:rPr>
          <w:rFonts w:eastAsia="ArialMT" w:cstheme="minorHAnsi"/>
          <w:sz w:val="20"/>
          <w:szCs w:val="20"/>
        </w:rPr>
        <w:t xml:space="preserve"> </w:t>
      </w:r>
      <w:r>
        <w:rPr>
          <w:rFonts w:eastAsia="ArialMT" w:cstheme="minorHAnsi"/>
          <w:sz w:val="20"/>
          <w:szCs w:val="20"/>
        </w:rPr>
        <w:t>trávníky na obou hřištích</w:t>
      </w:r>
      <w:r w:rsidRPr="00E35204">
        <w:rPr>
          <w:rFonts w:eastAsia="ArialMT" w:cstheme="minorHAnsi"/>
          <w:sz w:val="20"/>
          <w:szCs w:val="20"/>
        </w:rPr>
        <w:t xml:space="preserve"> (15 %)</w:t>
      </w:r>
    </w:p>
    <w:p w14:paraId="243507E3" w14:textId="77777777" w:rsidR="00A13A22" w:rsidRPr="002B6C43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C77C4AB" w14:textId="77777777" w:rsidR="00E35204" w:rsidRPr="00773012" w:rsidRDefault="00E35204" w:rsidP="00E35204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E35204" w:rsidRPr="00773012" w14:paraId="508260AB" w14:textId="77777777" w:rsidTr="00AB19B5">
        <w:tc>
          <w:tcPr>
            <w:tcW w:w="9062" w:type="dxa"/>
            <w:gridSpan w:val="4"/>
            <w:shd w:val="clear" w:color="auto" w:fill="D9E2F3" w:themeFill="accent1" w:themeFillTint="33"/>
          </w:tcPr>
          <w:p w14:paraId="59C0B23B" w14:textId="77777777" w:rsidR="00E35204" w:rsidRPr="008F24A6" w:rsidRDefault="00E35204" w:rsidP="00AB19B5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8F24A6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Hodnotící kritérium A: </w:t>
            </w:r>
            <w:r w:rsidRPr="008F24A6">
              <w:rPr>
                <w:rFonts w:cstheme="minorHAnsi"/>
                <w:b/>
                <w:bCs/>
                <w:sz w:val="20"/>
                <w:szCs w:val="20"/>
                <w:u w:val="single"/>
              </w:rPr>
              <w:t>Celková cena za plnění zakázky za obě etapy</w:t>
            </w:r>
          </w:p>
        </w:tc>
      </w:tr>
      <w:tr w:rsidR="00E35204" w:rsidRPr="00773012" w14:paraId="30304291" w14:textId="77777777" w:rsidTr="00AB19B5">
        <w:tc>
          <w:tcPr>
            <w:tcW w:w="43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354CB" w14:textId="77777777" w:rsidR="00E35204" w:rsidRPr="00773012" w:rsidRDefault="00E35204" w:rsidP="00AB19B5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14:paraId="4498ACF6" w14:textId="77777777" w:rsidR="00E35204" w:rsidRPr="00773012" w:rsidRDefault="00E35204" w:rsidP="00AB19B5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E35204" w:rsidRPr="00773012" w14:paraId="1C7FDCE5" w14:textId="77777777" w:rsidTr="00AB19B5">
        <w:tc>
          <w:tcPr>
            <w:tcW w:w="4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8F6A" w14:textId="77777777" w:rsidR="00E35204" w:rsidRPr="00773012" w:rsidRDefault="00E35204" w:rsidP="00AB19B5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4D68AE13" w14:textId="77777777" w:rsidR="00E35204" w:rsidRPr="00773012" w:rsidRDefault="00E35204" w:rsidP="00AB19B5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3EADD34" w14:textId="77777777" w:rsidR="00E35204" w:rsidRPr="00773012" w:rsidRDefault="00E35204" w:rsidP="00AB19B5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2434E69D" w14:textId="77777777" w:rsidR="00E35204" w:rsidRPr="00773012" w:rsidRDefault="00E35204" w:rsidP="00AB19B5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E35204" w:rsidRPr="00773012" w14:paraId="42979849" w14:textId="77777777" w:rsidTr="00E35204">
        <w:trPr>
          <w:trHeight w:val="870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136D" w14:textId="6EB33B90" w:rsidR="00E35204" w:rsidRPr="00F75BF7" w:rsidRDefault="00E35204" w:rsidP="00D4414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B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Nabídková cena celkem za </w:t>
            </w:r>
            <w:r w:rsidRPr="00F75B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obě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hřiště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420367" w14:textId="77777777" w:rsidR="00E35204" w:rsidRPr="00773012" w:rsidRDefault="00E35204" w:rsidP="00AB19B5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8897935" w14:textId="77777777" w:rsidR="00E35204" w:rsidRPr="00773012" w:rsidRDefault="00E35204" w:rsidP="00AB19B5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CFBCA95" w14:textId="77777777" w:rsidR="00E35204" w:rsidRPr="00773012" w:rsidRDefault="00E35204" w:rsidP="00AB19B5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16AE9876" w14:textId="77777777" w:rsidR="00E35204" w:rsidRDefault="00E35204" w:rsidP="00E35204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35204" w:rsidRPr="00F75BF7" w14:paraId="13BB0221" w14:textId="77777777" w:rsidTr="00AB19B5">
        <w:tc>
          <w:tcPr>
            <w:tcW w:w="9062" w:type="dxa"/>
            <w:gridSpan w:val="2"/>
            <w:shd w:val="clear" w:color="auto" w:fill="D9E2F3" w:themeFill="accent1" w:themeFillTint="33"/>
          </w:tcPr>
          <w:p w14:paraId="431B91F3" w14:textId="70808D37" w:rsidR="00E35204" w:rsidRPr="008F24A6" w:rsidRDefault="00E35204" w:rsidP="00AB19B5">
            <w:pPr>
              <w:spacing w:before="60" w:after="60"/>
              <w:rPr>
                <w:rFonts w:eastAsia="ArialMT" w:cstheme="minorHAnsi"/>
                <w:sz w:val="20"/>
                <w:szCs w:val="20"/>
              </w:rPr>
            </w:pPr>
            <w:r w:rsidRPr="008F24A6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Hodnotící kritérium B: </w:t>
            </w:r>
            <w:r w:rsidR="00D44146" w:rsidRPr="00D44146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Délka garantované záruční lhůty na nové </w:t>
            </w:r>
            <w:r w:rsidR="00D44146" w:rsidRPr="00D44146">
              <w:rPr>
                <w:rFonts w:eastAsia="ArialMT" w:cstheme="minorHAnsi"/>
                <w:b/>
                <w:bCs/>
                <w:sz w:val="20"/>
                <w:szCs w:val="20"/>
                <w:u w:val="single"/>
              </w:rPr>
              <w:t>umělé trávníky na obou hřištích</w:t>
            </w:r>
          </w:p>
        </w:tc>
      </w:tr>
      <w:tr w:rsidR="00E35204" w:rsidRPr="00773012" w14:paraId="55987F37" w14:textId="77777777" w:rsidTr="00AB19B5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D6038" w14:textId="77777777" w:rsidR="00E35204" w:rsidRPr="009E5717" w:rsidRDefault="00E35204" w:rsidP="00AB19B5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1B70E89D" w14:textId="77777777" w:rsidR="00E35204" w:rsidRPr="009E5717" w:rsidRDefault="00E35204" w:rsidP="00AB19B5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9E5717">
              <w:rPr>
                <w:rFonts w:cstheme="minorHAnsi"/>
                <w:b/>
                <w:sz w:val="20"/>
                <w:szCs w:val="20"/>
              </w:rPr>
              <w:t>Počet měsíců</w:t>
            </w:r>
          </w:p>
        </w:tc>
      </w:tr>
      <w:tr w:rsidR="00E35204" w:rsidRPr="00F75BF7" w14:paraId="4CF9573D" w14:textId="77777777" w:rsidTr="00AB19B5">
        <w:tc>
          <w:tcPr>
            <w:tcW w:w="4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532F3" w14:textId="5397CE88" w:rsidR="00E35204" w:rsidRPr="009E5717" w:rsidRDefault="00E35204" w:rsidP="00D44146">
            <w:pPr>
              <w:pStyle w:val="Default"/>
              <w:spacing w:before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ar-SA"/>
              </w:rPr>
            </w:pPr>
            <w:r w:rsidRPr="009E57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Délka garantované záruční lhůty na </w:t>
            </w:r>
            <w:r w:rsidR="00D44146" w:rsidRPr="00D4414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nové </w:t>
            </w:r>
            <w:r w:rsidR="00D44146" w:rsidRPr="00D44146">
              <w:rPr>
                <w:rFonts w:asciiTheme="minorHAnsi" w:eastAsia="ArialMT" w:hAnsiTheme="minorHAnsi" w:cstheme="minorHAnsi"/>
                <w:b/>
                <w:bCs/>
                <w:sz w:val="20"/>
                <w:szCs w:val="20"/>
                <w:u w:val="single"/>
              </w:rPr>
              <w:t>umělé trávníky na obou hřištích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90898B" w14:textId="77777777" w:rsidR="00E35204" w:rsidRPr="009E5717" w:rsidRDefault="00E35204" w:rsidP="00AB19B5">
            <w:pPr>
              <w:spacing w:before="240" w:after="240"/>
              <w:jc w:val="center"/>
              <w:rPr>
                <w:rFonts w:cstheme="minorHAnsi"/>
                <w:bCs/>
                <w:sz w:val="20"/>
                <w:szCs w:val="20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Pr="00CA7D01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DA86715" w14:textId="77777777" w:rsidR="002609D3" w:rsidRPr="002609D3" w:rsidRDefault="002609D3" w:rsidP="002609D3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lastRenderedPageBreak/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83BB794" w14:textId="44633E5F" w:rsidR="00E1435F" w:rsidRPr="00D44146" w:rsidRDefault="002609D3" w:rsidP="00D4414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</w:t>
      </w:r>
      <w:r w:rsidR="00E1435F">
        <w:rPr>
          <w:rFonts w:eastAsia="Times New Roman" w:cstheme="minorHAnsi"/>
          <w:sz w:val="20"/>
          <w:szCs w:val="20"/>
          <w:lang w:eastAsia="ar-SA"/>
        </w:rPr>
        <w:t>.</w:t>
      </w:r>
    </w:p>
    <w:p w14:paraId="434E8A01" w14:textId="77777777" w:rsidR="0065742C" w:rsidRPr="002B6C43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70E6B4D5" w14:textId="6F70669B" w:rsidR="009C0F09" w:rsidRPr="00EA1942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9C0F09">
        <w:rPr>
          <w:rFonts w:cstheme="minorHAnsi"/>
          <w:sz w:val="20"/>
          <w:szCs w:val="20"/>
        </w:rPr>
        <w:t xml:space="preserve">v posledních 5-ti letech realizoval alespoň </w:t>
      </w:r>
      <w:r w:rsidRPr="00B27912">
        <w:rPr>
          <w:rFonts w:cstheme="minorHAnsi"/>
          <w:b/>
          <w:bCs/>
          <w:sz w:val="20"/>
          <w:szCs w:val="20"/>
        </w:rPr>
        <w:t>2 významné stavební akce</w:t>
      </w:r>
      <w:r w:rsidRPr="009C0F09">
        <w:rPr>
          <w:rFonts w:cstheme="minorHAnsi"/>
          <w:sz w:val="20"/>
          <w:szCs w:val="20"/>
        </w:rPr>
        <w:t xml:space="preserve">, přičemž se </w:t>
      </w:r>
      <w:r w:rsidRPr="009C0F09">
        <w:rPr>
          <w:rFonts w:cstheme="minorHAnsi"/>
          <w:sz w:val="20"/>
          <w:szCs w:val="20"/>
          <w:u w:val="single"/>
        </w:rPr>
        <w:t>u obou</w:t>
      </w:r>
      <w:r w:rsidRPr="009C0F09">
        <w:rPr>
          <w:rFonts w:cstheme="minorHAnsi"/>
          <w:sz w:val="20"/>
          <w:szCs w:val="20"/>
        </w:rPr>
        <w:t xml:space="preserve"> musí jednat o realizace na stavbách obdobného charakteru jako předmět </w:t>
      </w:r>
      <w:r w:rsidRPr="00EA1942">
        <w:rPr>
          <w:rFonts w:cstheme="minorHAnsi"/>
          <w:sz w:val="20"/>
          <w:szCs w:val="20"/>
        </w:rPr>
        <w:t>zakázky</w:t>
      </w:r>
      <w:r w:rsidR="00EA1942">
        <w:rPr>
          <w:rFonts w:cstheme="minorHAnsi"/>
          <w:sz w:val="20"/>
          <w:szCs w:val="20"/>
        </w:rPr>
        <w:t>,</w:t>
      </w:r>
      <w:r w:rsidRPr="00EA1942">
        <w:rPr>
          <w:rFonts w:cstheme="minorHAnsi"/>
          <w:sz w:val="20"/>
          <w:szCs w:val="20"/>
        </w:rPr>
        <w:t xml:space="preserve"> </w:t>
      </w:r>
      <w:r w:rsidR="00EA1942" w:rsidRPr="00EA1942">
        <w:rPr>
          <w:rFonts w:eastAsia="Times New Roman" w:cstheme="minorHAnsi"/>
          <w:sz w:val="20"/>
          <w:szCs w:val="20"/>
          <w:lang w:eastAsia="ar-SA"/>
        </w:rPr>
        <w:t xml:space="preserve">tj. stavbou obdobného charakteru se rozumí zakázka v oblasti výstavby (novostavba nebo rekonstrukce) hřišť s umělým trávníkem se vsypem křemičitého písku a gumového granulátu, s finančním plněním minimálně ve výši </w:t>
      </w:r>
      <w:proofErr w:type="gramStart"/>
      <w:r w:rsidR="00EA1942">
        <w:rPr>
          <w:rFonts w:eastAsia="Times New Roman" w:cstheme="minorHAnsi"/>
          <w:b/>
          <w:sz w:val="20"/>
          <w:szCs w:val="20"/>
          <w:lang w:eastAsia="ar-SA"/>
        </w:rPr>
        <w:t>500.000,-</w:t>
      </w:r>
      <w:proofErr w:type="gramEnd"/>
      <w:r w:rsidR="00EA1942" w:rsidRPr="00EA1942">
        <w:rPr>
          <w:rFonts w:eastAsia="Times New Roman" w:cstheme="minorHAnsi"/>
          <w:b/>
          <w:sz w:val="20"/>
          <w:szCs w:val="20"/>
          <w:lang w:eastAsia="ar-SA"/>
        </w:rPr>
        <w:t xml:space="preserve"> Kč bez DPH za každou akci</w:t>
      </w:r>
      <w:r w:rsidR="00EA1942" w:rsidRPr="00EA1942">
        <w:rPr>
          <w:rFonts w:eastAsia="Times New Roman" w:cstheme="minorHAnsi"/>
          <w:sz w:val="20"/>
          <w:szCs w:val="20"/>
          <w:lang w:eastAsia="ar-SA"/>
        </w:rPr>
        <w:t xml:space="preserve">.  </w:t>
      </w:r>
    </w:p>
    <w:p w14:paraId="5DB4526D" w14:textId="77777777" w:rsidR="009C0F09" w:rsidRPr="009C0F09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C0F09">
        <w:rPr>
          <w:rFonts w:cstheme="minorHAnsi"/>
          <w:sz w:val="20"/>
          <w:szCs w:val="20"/>
        </w:rPr>
        <w:t>disponuje osvědčeními objednatelů o řádném poskytnutí a dokončení prací u uvedených staveb;</w:t>
      </w:r>
    </w:p>
    <w:p w14:paraId="254BEE3B" w14:textId="1C07B9D2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EA1942">
        <w:rPr>
          <w:rFonts w:cstheme="minorHAnsi"/>
          <w:sz w:val="20"/>
          <w:szCs w:val="20"/>
        </w:rPr>
        <w:t>hřiště s umělým povrchem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Pr="002B6C43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C016B1" w:rsidRPr="002B6C43" w14:paraId="21C17FE2" w14:textId="77777777" w:rsidTr="00180DC8">
        <w:tc>
          <w:tcPr>
            <w:tcW w:w="8778" w:type="dxa"/>
            <w:gridSpan w:val="2"/>
          </w:tcPr>
          <w:p w14:paraId="593357F0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2</w:t>
            </w:r>
          </w:p>
        </w:tc>
      </w:tr>
      <w:tr w:rsidR="00C016B1" w:rsidRPr="002B6C43" w14:paraId="631DD578" w14:textId="77777777" w:rsidTr="00180DC8">
        <w:tc>
          <w:tcPr>
            <w:tcW w:w="3539" w:type="dxa"/>
          </w:tcPr>
          <w:p w14:paraId="1753D7F2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06902666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3B9A2DDC" w14:textId="77777777" w:rsidTr="00180DC8">
        <w:tc>
          <w:tcPr>
            <w:tcW w:w="3539" w:type="dxa"/>
          </w:tcPr>
          <w:p w14:paraId="0A934233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E5F5DB1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58C7E614" w14:textId="77777777" w:rsidTr="00180DC8">
        <w:tc>
          <w:tcPr>
            <w:tcW w:w="3539" w:type="dxa"/>
          </w:tcPr>
          <w:p w14:paraId="24DE339B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7B6E7D3F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07640063" w14:textId="77777777" w:rsidTr="00180DC8">
        <w:tc>
          <w:tcPr>
            <w:tcW w:w="3539" w:type="dxa"/>
          </w:tcPr>
          <w:p w14:paraId="07D2616A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2CEFD250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0FDB601D" w14:textId="77777777" w:rsidTr="00180DC8">
        <w:tc>
          <w:tcPr>
            <w:tcW w:w="3539" w:type="dxa"/>
          </w:tcPr>
          <w:p w14:paraId="226F87B8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B668B3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B470BB" w14:textId="77777777" w:rsidR="00F57602" w:rsidRDefault="00F57602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4ECCBC" w14:textId="77777777" w:rsidR="00D44146" w:rsidRDefault="00D44146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C1C90" w14:textId="77777777" w:rsidR="00D44146" w:rsidRPr="00D82124" w:rsidRDefault="00D44146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lastRenderedPageBreak/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Pr="00471F84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2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27DB9CE7" w:rsidR="00F86FB5" w:rsidRPr="00EA3ED4" w:rsidRDefault="00F86FB5" w:rsidP="00452FC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3ED4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</w:t>
      </w:r>
      <w:r w:rsidR="00EA1942">
        <w:rPr>
          <w:rFonts w:asciiTheme="minorHAnsi" w:hAnsiTheme="minorHAnsi" w:cstheme="minorHAnsi"/>
          <w:sz w:val="20"/>
          <w:szCs w:val="20"/>
        </w:rPr>
        <w:t xml:space="preserve"> i</w:t>
      </w:r>
      <w:r w:rsidRPr="00EA3ED4">
        <w:rPr>
          <w:rFonts w:asciiTheme="minorHAnsi" w:hAnsiTheme="minorHAnsi" w:cstheme="minorHAnsi"/>
          <w:sz w:val="20"/>
          <w:szCs w:val="20"/>
        </w:rPr>
        <w:t xml:space="preserve"> s místem plnění veřejné zakázky</w:t>
      </w:r>
      <w:bookmarkEnd w:id="2"/>
      <w:r w:rsidR="00EA1942">
        <w:rPr>
          <w:rFonts w:asciiTheme="minorHAnsi" w:hAnsiTheme="minorHAnsi" w:cstheme="minorHAnsi"/>
          <w:sz w:val="20"/>
          <w:szCs w:val="20"/>
        </w:rPr>
        <w:t>.</w:t>
      </w:r>
      <w:r w:rsidRPr="00EA3ED4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124952869"/>
    </w:p>
    <w:bookmarkEnd w:id="3"/>
    <w:p w14:paraId="0F800043" w14:textId="77777777" w:rsidR="00F86FB5" w:rsidRDefault="00F86FB5" w:rsidP="003A5C51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4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4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EA3260">
      <w:footerReference w:type="default" r:id="rId8"/>
      <w:headerReference w:type="first" r:id="rId9"/>
      <w:pgSz w:w="11906" w:h="16838"/>
      <w:pgMar w:top="993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B3A39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6A31DC31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387443"/>
      <w:docPartObj>
        <w:docPartGallery w:val="Page Numbers (Bottom of Page)"/>
        <w:docPartUnique/>
      </w:docPartObj>
    </w:sdtPr>
    <w:sdtEndPr/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2EF0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695EE2D6" w14:textId="77777777" w:rsidR="00D12A03" w:rsidRDefault="00D12A03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5" w:name="_Hlk132360829"/>
      <w:bookmarkStart w:id="6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760A0D"/>
    <w:multiLevelType w:val="hybridMultilevel"/>
    <w:tmpl w:val="8FB0C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3042514">
    <w:abstractNumId w:val="16"/>
  </w:num>
  <w:num w:numId="2" w16cid:durableId="1513454401">
    <w:abstractNumId w:val="25"/>
  </w:num>
  <w:num w:numId="3" w16cid:durableId="984968806">
    <w:abstractNumId w:val="9"/>
  </w:num>
  <w:num w:numId="4" w16cid:durableId="2020085157">
    <w:abstractNumId w:val="12"/>
  </w:num>
  <w:num w:numId="5" w16cid:durableId="651644931">
    <w:abstractNumId w:val="17"/>
  </w:num>
  <w:num w:numId="6" w16cid:durableId="1952934351">
    <w:abstractNumId w:val="6"/>
  </w:num>
  <w:num w:numId="7" w16cid:durableId="895549876">
    <w:abstractNumId w:val="20"/>
  </w:num>
  <w:num w:numId="8" w16cid:durableId="1342470665">
    <w:abstractNumId w:val="0"/>
  </w:num>
  <w:num w:numId="9" w16cid:durableId="962420026">
    <w:abstractNumId w:val="7"/>
  </w:num>
  <w:num w:numId="10" w16cid:durableId="1188762652">
    <w:abstractNumId w:val="3"/>
  </w:num>
  <w:num w:numId="11" w16cid:durableId="1325933229">
    <w:abstractNumId w:val="15"/>
  </w:num>
  <w:num w:numId="12" w16cid:durableId="1657567211">
    <w:abstractNumId w:val="2"/>
  </w:num>
  <w:num w:numId="13" w16cid:durableId="484979917">
    <w:abstractNumId w:val="11"/>
  </w:num>
  <w:num w:numId="14" w16cid:durableId="372925289">
    <w:abstractNumId w:val="22"/>
  </w:num>
  <w:num w:numId="15" w16cid:durableId="696274947">
    <w:abstractNumId w:val="5"/>
  </w:num>
  <w:num w:numId="16" w16cid:durableId="1208184921">
    <w:abstractNumId w:val="26"/>
  </w:num>
  <w:num w:numId="17" w16cid:durableId="162283154">
    <w:abstractNumId w:val="14"/>
  </w:num>
  <w:num w:numId="18" w16cid:durableId="1232616264">
    <w:abstractNumId w:val="8"/>
  </w:num>
  <w:num w:numId="19" w16cid:durableId="2030712080">
    <w:abstractNumId w:val="19"/>
  </w:num>
  <w:num w:numId="20" w16cid:durableId="184052818">
    <w:abstractNumId w:val="21"/>
  </w:num>
  <w:num w:numId="21" w16cid:durableId="1738895489">
    <w:abstractNumId w:val="13"/>
  </w:num>
  <w:num w:numId="22" w16cid:durableId="1615987233">
    <w:abstractNumId w:val="1"/>
  </w:num>
  <w:num w:numId="23" w16cid:durableId="1825926999">
    <w:abstractNumId w:val="10"/>
  </w:num>
  <w:num w:numId="24" w16cid:durableId="88090916">
    <w:abstractNumId w:val="24"/>
  </w:num>
  <w:num w:numId="25" w16cid:durableId="750391249">
    <w:abstractNumId w:val="18"/>
  </w:num>
  <w:num w:numId="26" w16cid:durableId="1002973526">
    <w:abstractNumId w:val="4"/>
  </w:num>
  <w:num w:numId="27" w16cid:durableId="17395482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17559"/>
    <w:rsid w:val="00053FD8"/>
    <w:rsid w:val="000620C3"/>
    <w:rsid w:val="00085D2F"/>
    <w:rsid w:val="000A39BB"/>
    <w:rsid w:val="000D563B"/>
    <w:rsid w:val="001019ED"/>
    <w:rsid w:val="00125B87"/>
    <w:rsid w:val="001317FC"/>
    <w:rsid w:val="001827B0"/>
    <w:rsid w:val="00186B58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5040F"/>
    <w:rsid w:val="003516D0"/>
    <w:rsid w:val="00370A9F"/>
    <w:rsid w:val="0037780B"/>
    <w:rsid w:val="003A5C51"/>
    <w:rsid w:val="00420424"/>
    <w:rsid w:val="00425193"/>
    <w:rsid w:val="00425CC7"/>
    <w:rsid w:val="00434DE6"/>
    <w:rsid w:val="00452FC7"/>
    <w:rsid w:val="00535759"/>
    <w:rsid w:val="00544FAE"/>
    <w:rsid w:val="0056301D"/>
    <w:rsid w:val="005B770D"/>
    <w:rsid w:val="00616EE5"/>
    <w:rsid w:val="00655DEB"/>
    <w:rsid w:val="0065742C"/>
    <w:rsid w:val="00664B4C"/>
    <w:rsid w:val="00672823"/>
    <w:rsid w:val="0067366C"/>
    <w:rsid w:val="006C083F"/>
    <w:rsid w:val="00734602"/>
    <w:rsid w:val="00734B0E"/>
    <w:rsid w:val="00746270"/>
    <w:rsid w:val="00780CD1"/>
    <w:rsid w:val="0078561C"/>
    <w:rsid w:val="007B0C37"/>
    <w:rsid w:val="007B527D"/>
    <w:rsid w:val="007E017B"/>
    <w:rsid w:val="0080631C"/>
    <w:rsid w:val="00860B96"/>
    <w:rsid w:val="008A3178"/>
    <w:rsid w:val="008B3D54"/>
    <w:rsid w:val="008B57B8"/>
    <w:rsid w:val="008D2AFB"/>
    <w:rsid w:val="00923A14"/>
    <w:rsid w:val="00931D16"/>
    <w:rsid w:val="009C0F09"/>
    <w:rsid w:val="009C40FF"/>
    <w:rsid w:val="00A045E1"/>
    <w:rsid w:val="00A13A22"/>
    <w:rsid w:val="00A27626"/>
    <w:rsid w:val="00A4420A"/>
    <w:rsid w:val="00AD23EC"/>
    <w:rsid w:val="00AE7600"/>
    <w:rsid w:val="00B00BF0"/>
    <w:rsid w:val="00B04DE8"/>
    <w:rsid w:val="00B13660"/>
    <w:rsid w:val="00B27912"/>
    <w:rsid w:val="00B62776"/>
    <w:rsid w:val="00B7050F"/>
    <w:rsid w:val="00C016B1"/>
    <w:rsid w:val="00C04837"/>
    <w:rsid w:val="00C61112"/>
    <w:rsid w:val="00CA7D01"/>
    <w:rsid w:val="00CE04FB"/>
    <w:rsid w:val="00CF6718"/>
    <w:rsid w:val="00D12A03"/>
    <w:rsid w:val="00D44146"/>
    <w:rsid w:val="00D45A3A"/>
    <w:rsid w:val="00D9115A"/>
    <w:rsid w:val="00DC7C2C"/>
    <w:rsid w:val="00E1435F"/>
    <w:rsid w:val="00E24853"/>
    <w:rsid w:val="00E35204"/>
    <w:rsid w:val="00E560A0"/>
    <w:rsid w:val="00EA1942"/>
    <w:rsid w:val="00EA3260"/>
    <w:rsid w:val="00EA4373"/>
    <w:rsid w:val="00EB410E"/>
    <w:rsid w:val="00EE5ADC"/>
    <w:rsid w:val="00F11C9E"/>
    <w:rsid w:val="00F57602"/>
    <w:rsid w:val="00F7781C"/>
    <w:rsid w:val="00F85762"/>
    <w:rsid w:val="00F86FB5"/>
    <w:rsid w:val="00FB7F25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E24C0D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1664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12</cp:revision>
  <dcterms:created xsi:type="dcterms:W3CDTF">2023-06-19T14:57:00Z</dcterms:created>
  <dcterms:modified xsi:type="dcterms:W3CDTF">2024-05-28T11:23:00Z</dcterms:modified>
</cp:coreProperties>
</file>