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9D2A" w14:textId="46DFA4AB" w:rsidR="00E54F51" w:rsidRPr="00AB3F8E" w:rsidRDefault="00E54F51" w:rsidP="00E54F51">
      <w:pPr>
        <w:spacing w:line="280" w:lineRule="atLeast"/>
        <w:rPr>
          <w:rFonts w:cs="Calibri"/>
        </w:rPr>
      </w:pPr>
      <w:r w:rsidRPr="00AB3F8E">
        <w:rPr>
          <w:rFonts w:cs="Calibri"/>
        </w:rPr>
        <w:t xml:space="preserve">The subject of the purchase </w:t>
      </w:r>
      <w:r w:rsidR="009B35F0">
        <w:rPr>
          <w:rFonts w:cs="Calibri"/>
        </w:rPr>
        <w:t xml:space="preserve">is </w:t>
      </w:r>
      <w:r w:rsidR="00FB6A9F" w:rsidRPr="007A53F5">
        <w:rPr>
          <w:rFonts w:cs="Calibri"/>
        </w:rPr>
        <w:t xml:space="preserve">spare parts package for the Ceilometer </w:t>
      </w:r>
      <w:proofErr w:type="spellStart"/>
      <w:r w:rsidR="00FB6A9F" w:rsidRPr="007A53F5">
        <w:rPr>
          <w:rFonts w:cs="Calibri"/>
        </w:rPr>
        <w:t>Lufft</w:t>
      </w:r>
      <w:proofErr w:type="spellEnd"/>
      <w:r w:rsidR="00FB6A9F" w:rsidRPr="007A53F5">
        <w:rPr>
          <w:rFonts w:cs="Calibri"/>
        </w:rPr>
        <w:t xml:space="preserve"> CHM 15k</w:t>
      </w:r>
      <w:r w:rsidRPr="00AB3F8E">
        <w:rPr>
          <w:rFonts w:cs="Calibri"/>
        </w:rPr>
        <w:t xml:space="preserve"> described in Section 2.2 of the Invitation to submit bids. </w:t>
      </w:r>
      <w:r w:rsidR="009A1DF0">
        <w:rPr>
          <w:rFonts w:cs="Calibri"/>
        </w:rPr>
        <w:t>It</w:t>
      </w:r>
      <w:r w:rsidRPr="00AB3F8E">
        <w:rPr>
          <w:rFonts w:cs="Calibri"/>
        </w:rPr>
        <w:t xml:space="preserve"> must include components listed in this table</w:t>
      </w:r>
      <w:r w:rsidR="00DD7A03">
        <w:rPr>
          <w:rFonts w:cs="Calibri"/>
        </w:rPr>
        <w:t xml:space="preserve"> in </w:t>
      </w:r>
      <w:r w:rsidR="00635142">
        <w:rPr>
          <w:rFonts w:cs="Calibri"/>
        </w:rPr>
        <w:t xml:space="preserve">the </w:t>
      </w:r>
      <w:r w:rsidR="003400F4">
        <w:rPr>
          <w:rFonts w:cs="Calibri"/>
        </w:rPr>
        <w:t>respective quantities</w:t>
      </w:r>
      <w:r w:rsidRPr="00AB3F8E">
        <w:rPr>
          <w:rFonts w:cs="Calibri"/>
        </w:rPr>
        <w:t>.</w:t>
      </w:r>
    </w:p>
    <w:tbl>
      <w:tblPr>
        <w:tblStyle w:val="TableNormal"/>
        <w:tblW w:w="89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03"/>
        <w:gridCol w:w="1134"/>
        <w:gridCol w:w="5954"/>
        <w:gridCol w:w="850"/>
      </w:tblGrid>
      <w:tr w:rsidR="00205D55" w:rsidRPr="00AB3F8E" w14:paraId="6D60418A" w14:textId="77777777" w:rsidTr="000A16DB">
        <w:trPr>
          <w:trHeight w:val="473"/>
        </w:trPr>
        <w:tc>
          <w:tcPr>
            <w:tcW w:w="1003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6" w14:textId="65E043FF" w:rsidR="00205D55" w:rsidRPr="00AB3F8E" w:rsidRDefault="00205D55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Quantity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A59FE7" w14:textId="196FEC6F" w:rsidR="00205D55" w:rsidRPr="00AB3F8E" w:rsidRDefault="00BA656B" w:rsidP="00BA656B">
            <w:pPr>
              <w:spacing w:before="0" w:after="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Spare par</w:t>
            </w:r>
            <w:r w:rsidR="00FA7143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t code</w:t>
            </w:r>
          </w:p>
        </w:tc>
        <w:tc>
          <w:tcPr>
            <w:tcW w:w="595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7" w14:textId="066C8E8E" w:rsidR="00205D55" w:rsidRPr="00AB3F8E" w:rsidRDefault="00205D55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Description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of spare part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9" w14:textId="3AFE9427" w:rsidR="00205D55" w:rsidRPr="00AB3F8E" w:rsidRDefault="00205D55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YES/NO</w:t>
            </w:r>
          </w:p>
        </w:tc>
      </w:tr>
      <w:tr w:rsidR="00205D55" w:rsidRPr="00AB3F8E" w14:paraId="6D604194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0" w14:textId="0E158496" w:rsidR="00205D55" w:rsidRPr="004777B3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4777B3">
              <w:rPr>
                <w:rFonts w:eastAsia="Open Sans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9E898" w14:textId="6BC21527" w:rsidR="00205D55" w:rsidRPr="005A27B6" w:rsidRDefault="00C83E0B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C83E0B">
              <w:rPr>
                <w:rFonts w:cs="Calibri"/>
                <w:sz w:val="20"/>
                <w:szCs w:val="20"/>
                <w:lang w:val="cs-CZ"/>
              </w:rPr>
              <w:t>8350.MCU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1" w14:textId="6A14D846" w:rsidR="00205D55" w:rsidRPr="00892051" w:rsidRDefault="00205D55" w:rsidP="005A27B6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A27B6">
              <w:rPr>
                <w:rFonts w:cs="Calibri"/>
                <w:sz w:val="20"/>
                <w:szCs w:val="20"/>
              </w:rPr>
              <w:t>CHM Main Controller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A27B6">
              <w:rPr>
                <w:rFonts w:cs="Calibri"/>
                <w:sz w:val="20"/>
                <w:szCs w:val="20"/>
              </w:rPr>
              <w:t>incl. processor board &amp; SD Card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3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99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5" w14:textId="77777777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eastAsia="Open Sans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7A3C0" w14:textId="4AA0FC49" w:rsidR="00205D55" w:rsidRPr="00C918EF" w:rsidRDefault="00DA15B1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DA15B1">
              <w:rPr>
                <w:rFonts w:cs="Calibri"/>
                <w:sz w:val="20"/>
                <w:szCs w:val="20"/>
              </w:rPr>
              <w:t>8350.LOMn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6" w14:textId="1C5D147C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C918EF">
              <w:rPr>
                <w:rFonts w:cs="Calibri"/>
                <w:sz w:val="20"/>
                <w:szCs w:val="20"/>
              </w:rPr>
              <w:t>Laser optic module (LOM unit)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8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9E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A" w14:textId="1CB267C3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eastAsia="Open Sans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CBE7B" w14:textId="4F2DDBD3" w:rsidR="00205D55" w:rsidRPr="00E37ECD" w:rsidRDefault="00DA15B1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DA15B1">
              <w:rPr>
                <w:rFonts w:cs="Calibri"/>
                <w:sz w:val="20"/>
                <w:szCs w:val="20"/>
              </w:rPr>
              <w:t>41.75505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B" w14:textId="7656C912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37ECD">
              <w:rPr>
                <w:rFonts w:cs="Calibri"/>
                <w:sz w:val="20"/>
                <w:szCs w:val="20"/>
              </w:rPr>
              <w:t>Case for LOM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D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A3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F" w14:textId="10E7DB5F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2341E" w14:textId="179B2023" w:rsidR="00205D55" w:rsidRPr="00394587" w:rsidRDefault="009A52D8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9A52D8">
              <w:rPr>
                <w:rFonts w:cs="Calibri"/>
                <w:sz w:val="20"/>
                <w:szCs w:val="20"/>
                <w:lang w:val="cs-CZ"/>
              </w:rPr>
              <w:t>41.7550</w:t>
            </w:r>
            <w:r>
              <w:rPr>
                <w:rFonts w:cs="Calibri"/>
                <w:sz w:val="20"/>
                <w:szCs w:val="20"/>
                <w:lang w:val="cs-CZ"/>
              </w:rPr>
              <w:t>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0" w14:textId="1A90BE53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394587">
              <w:rPr>
                <w:rFonts w:cs="Calibri"/>
                <w:sz w:val="20"/>
                <w:szCs w:val="20"/>
              </w:rPr>
              <w:t>Alu-outer case for Case LOM, oversea shipment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2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A8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4" w14:textId="29D7976A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DD9CC" w14:textId="2A1DB9E8" w:rsidR="00205D55" w:rsidRPr="003E3D58" w:rsidRDefault="00E86DA0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E86DA0">
              <w:rPr>
                <w:rFonts w:cs="Calibri"/>
                <w:sz w:val="20"/>
                <w:szCs w:val="20"/>
              </w:rPr>
              <w:t>41.75504-10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5" w14:textId="658CB021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3E3D58">
              <w:rPr>
                <w:rFonts w:cs="Calibri"/>
                <w:sz w:val="20"/>
                <w:szCs w:val="20"/>
              </w:rPr>
              <w:t>Temp.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3D58">
              <w:rPr>
                <w:rFonts w:cs="Calibri"/>
                <w:sz w:val="20"/>
                <w:szCs w:val="20"/>
              </w:rPr>
              <w:t>sensor LOM to REF_LED new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7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AD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9" w14:textId="4ED8976C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D8D60" w14:textId="21A2F20C" w:rsidR="00205D55" w:rsidRPr="00D27D14" w:rsidRDefault="008D60CB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8D60CB">
              <w:rPr>
                <w:rFonts w:cs="Calibri"/>
                <w:sz w:val="20"/>
                <w:szCs w:val="20"/>
                <w:lang w:val="cs-CZ"/>
              </w:rPr>
              <w:t>41.94840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A" w14:textId="5E68D7D9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D27D14">
              <w:rPr>
                <w:rFonts w:cs="Calibri"/>
                <w:sz w:val="20"/>
                <w:szCs w:val="20"/>
              </w:rPr>
              <w:t>G-fuse T 2 A</w:t>
            </w:r>
            <w:r>
              <w:rPr>
                <w:rFonts w:cs="Calibri"/>
                <w:sz w:val="20"/>
                <w:szCs w:val="20"/>
              </w:rPr>
              <w:t xml:space="preserve"> (10 pcs)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C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B2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E" w14:textId="3C4D80A5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eastAsia="Open Sans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C840F" w14:textId="1088453C" w:rsidR="00205D55" w:rsidRPr="0068151C" w:rsidRDefault="008D60CB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8D60CB">
              <w:rPr>
                <w:rFonts w:cs="Calibri"/>
                <w:sz w:val="20"/>
                <w:szCs w:val="20"/>
                <w:lang w:val="cs-CZ"/>
              </w:rPr>
              <w:t>41.9484</w:t>
            </w:r>
            <w:r>
              <w:rPr>
                <w:rFonts w:cs="Calibri"/>
                <w:sz w:val="20"/>
                <w:szCs w:val="20"/>
                <w:lang w:val="cs-CZ"/>
              </w:rPr>
              <w:t>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F" w14:textId="6D4C4128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68151C">
              <w:rPr>
                <w:rFonts w:cs="Calibri"/>
                <w:sz w:val="20"/>
                <w:szCs w:val="20"/>
              </w:rPr>
              <w:t>G-fuse T 3.15 A</w:t>
            </w:r>
            <w:r>
              <w:rPr>
                <w:rFonts w:cs="Calibri"/>
                <w:sz w:val="20"/>
                <w:szCs w:val="20"/>
              </w:rPr>
              <w:t xml:space="preserve"> (10 pcs)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1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B7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3" w14:textId="3A0C38B6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A8EC8" w14:textId="4093720B" w:rsidR="00205D55" w:rsidRPr="00DC493E" w:rsidRDefault="000174EF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0174EF">
              <w:rPr>
                <w:rFonts w:cs="Calibri"/>
                <w:sz w:val="20"/>
                <w:szCs w:val="20"/>
              </w:rPr>
              <w:t>41.11000-5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4" w14:textId="5EFE9016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DC493E">
              <w:rPr>
                <w:rFonts w:cs="Calibri"/>
                <w:sz w:val="20"/>
                <w:szCs w:val="20"/>
              </w:rPr>
              <w:t>surge arrester: RS 485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6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BC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8" w14:textId="01E8763D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497E" w14:textId="172FD091" w:rsidR="00205D55" w:rsidRPr="004777B3" w:rsidRDefault="00DB74DD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DB74DD">
              <w:rPr>
                <w:rFonts w:cs="Calibri"/>
                <w:sz w:val="20"/>
                <w:szCs w:val="20"/>
              </w:rPr>
              <w:t>41.80453-10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9" w14:textId="51B88D8D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4777B3">
              <w:rPr>
                <w:rFonts w:cs="Calibri"/>
                <w:sz w:val="20"/>
                <w:szCs w:val="20"/>
              </w:rPr>
              <w:t>Temperature sensor inside/ outside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B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C1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D" w14:textId="4E0CA6A6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CDB4B" w14:textId="07FDAFAB" w:rsidR="00205D55" w:rsidRPr="00641B57" w:rsidRDefault="00DB74DD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DB74DD">
              <w:rPr>
                <w:rFonts w:cs="Calibri"/>
                <w:sz w:val="20"/>
                <w:szCs w:val="20"/>
              </w:rPr>
              <w:t>8350.DESIC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E" w14:textId="5FD359E7" w:rsidR="00205D55" w:rsidRPr="00892051" w:rsidRDefault="00205D55" w:rsidP="00CF548B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641B57">
              <w:rPr>
                <w:rFonts w:cs="Calibri"/>
                <w:sz w:val="20"/>
                <w:szCs w:val="20"/>
              </w:rPr>
              <w:t>Container Dri</w:t>
            </w:r>
            <w:r>
              <w:rPr>
                <w:rFonts w:cs="Calibri"/>
                <w:sz w:val="20"/>
                <w:szCs w:val="20"/>
              </w:rPr>
              <w:t xml:space="preserve"> (10 pcs)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0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1C6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2" w14:textId="6DE11F96" w:rsidR="00205D55" w:rsidRPr="00E8489D" w:rsidRDefault="00205D5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CBCAA" w14:textId="6E447E9A" w:rsidR="00205D55" w:rsidRPr="00E8489D" w:rsidRDefault="001F12A3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1F12A3">
              <w:rPr>
                <w:rFonts w:cs="Calibri"/>
                <w:sz w:val="20"/>
                <w:szCs w:val="20"/>
                <w:lang w:val="cs-CZ"/>
              </w:rPr>
              <w:t>8350.SDC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C3" w14:textId="24BF92BA" w:rsidR="00205D55" w:rsidRPr="00892051" w:rsidRDefault="00205D5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8489D">
              <w:rPr>
                <w:rFonts w:cs="Calibri"/>
                <w:sz w:val="20"/>
                <w:szCs w:val="20"/>
              </w:rPr>
              <w:t>Industrial SD Card 16 GB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5" w14:textId="77777777" w:rsidR="00205D55" w:rsidRPr="00AB3F8E" w:rsidRDefault="00205D55" w:rsidP="00FC5799">
            <w:pPr>
              <w:spacing w:before="0" w:after="0"/>
              <w:rPr>
                <w:rFonts w:cs="Calibri"/>
              </w:rPr>
            </w:pPr>
          </w:p>
        </w:tc>
      </w:tr>
      <w:tr w:rsidR="00205D55" w:rsidRPr="00AB3F8E" w14:paraId="6D60421B" w14:textId="77777777" w:rsidTr="000A16DB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7" w14:textId="53D9DDDC" w:rsidR="00205D55" w:rsidRPr="00E8489D" w:rsidRDefault="00205D55" w:rsidP="00EB0BCF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E8489D">
              <w:rPr>
                <w:rFonts w:eastAsia="Open Sans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D35F37" w14:textId="5A121796" w:rsidR="00205D55" w:rsidRPr="0065505F" w:rsidRDefault="000F0B33" w:rsidP="005824BB">
            <w:pPr>
              <w:spacing w:before="0" w:after="0"/>
              <w:ind w:left="57"/>
              <w:jc w:val="left"/>
              <w:rPr>
                <w:rFonts w:cs="Calibri"/>
                <w:sz w:val="20"/>
                <w:szCs w:val="20"/>
              </w:rPr>
            </w:pPr>
            <w:r w:rsidRPr="000F0B33">
              <w:rPr>
                <w:rFonts w:cs="Calibri"/>
                <w:sz w:val="20"/>
                <w:szCs w:val="20"/>
              </w:rPr>
              <w:t>41.14635-14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218" w14:textId="17ADE268" w:rsidR="00205D55" w:rsidRPr="00EB0BCF" w:rsidRDefault="00205D55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proofErr w:type="spellStart"/>
            <w:r w:rsidRPr="0065505F">
              <w:rPr>
                <w:rFonts w:cs="Calibri"/>
                <w:sz w:val="20"/>
                <w:szCs w:val="20"/>
              </w:rPr>
              <w:t>Cable_Sensor</w:t>
            </w:r>
            <w:proofErr w:type="spellEnd"/>
            <w:r w:rsidRPr="0065505F">
              <w:rPr>
                <w:rFonts w:cs="Calibri"/>
                <w:sz w:val="20"/>
                <w:szCs w:val="20"/>
              </w:rPr>
              <w:t>-Signal-</w:t>
            </w:r>
            <w:proofErr w:type="spellStart"/>
            <w:r w:rsidRPr="0065505F">
              <w:rPr>
                <w:rFonts w:cs="Calibri"/>
                <w:sz w:val="20"/>
                <w:szCs w:val="20"/>
              </w:rPr>
              <w:t>CHM_main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A" w14:textId="77777777" w:rsidR="00205D55" w:rsidRPr="00AB3F8E" w:rsidRDefault="00205D55" w:rsidP="00EB0BCF">
            <w:pPr>
              <w:spacing w:before="0" w:after="0"/>
              <w:rPr>
                <w:rFonts w:cs="Calibri"/>
              </w:rPr>
            </w:pPr>
          </w:p>
        </w:tc>
      </w:tr>
    </w:tbl>
    <w:p w14:paraId="6D60421C" w14:textId="77777777" w:rsidR="00BE4B59" w:rsidRDefault="00BE4B59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77B490" w14:textId="48A14501" w:rsidR="00FC5442" w:rsidRPr="00FF66D7" w:rsidRDefault="00FC5442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color w:val="FF0000"/>
          <w:sz w:val="20"/>
          <w:szCs w:val="20"/>
          <w:lang w:val="en-US"/>
        </w:rPr>
      </w:pPr>
      <w:r w:rsidRPr="00FF66D7">
        <w:rPr>
          <w:b/>
          <w:bCs/>
          <w:color w:val="FF0000"/>
          <w:sz w:val="20"/>
          <w:szCs w:val="20"/>
          <w:lang w:val="en-US"/>
        </w:rPr>
        <w:t>(Bidders shall fill in the column “YES / NO”.)</w:t>
      </w:r>
    </w:p>
    <w:sectPr w:rsidR="00FC5442" w:rsidRPr="00FF66D7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05F9" w14:textId="77777777" w:rsidR="00D571D1" w:rsidRPr="00AE4513" w:rsidRDefault="00D571D1">
      <w:pPr>
        <w:spacing w:before="0" w:after="0"/>
      </w:pPr>
      <w:r w:rsidRPr="00AE4513">
        <w:separator/>
      </w:r>
    </w:p>
  </w:endnote>
  <w:endnote w:type="continuationSeparator" w:id="0">
    <w:p w14:paraId="391E9B3B" w14:textId="77777777" w:rsidR="00D571D1" w:rsidRPr="00AE4513" w:rsidRDefault="00D571D1">
      <w:pPr>
        <w:spacing w:before="0" w:after="0"/>
      </w:pPr>
      <w:r w:rsidRPr="00AE4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466A" w14:textId="77777777" w:rsidR="00D571D1" w:rsidRPr="00AE4513" w:rsidRDefault="00D571D1">
      <w:pPr>
        <w:spacing w:before="0" w:after="0"/>
      </w:pPr>
      <w:r w:rsidRPr="00AE4513">
        <w:separator/>
      </w:r>
    </w:p>
  </w:footnote>
  <w:footnote w:type="continuationSeparator" w:id="0">
    <w:p w14:paraId="4EDB9DBC" w14:textId="77777777" w:rsidR="00D571D1" w:rsidRPr="00AE4513" w:rsidRDefault="00D571D1">
      <w:pPr>
        <w:spacing w:before="0" w:after="0"/>
      </w:pPr>
      <w:r w:rsidRPr="00AE4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2E52" w14:textId="77777777" w:rsidR="001D6B33" w:rsidRPr="00AE4513" w:rsidRDefault="001D6B33" w:rsidP="001D6B33">
    <w:pPr>
      <w:pStyle w:val="Zhlav"/>
      <w:jc w:val="center"/>
      <w:rPr>
        <w:rFonts w:cs="Calibri"/>
        <w:b/>
        <w:bCs/>
        <w:sz w:val="36"/>
        <w:szCs w:val="36"/>
      </w:rPr>
    </w:pPr>
    <w:r w:rsidRPr="00AE4513">
      <w:rPr>
        <w:rFonts w:cs="Calibri"/>
        <w:b/>
        <w:bCs/>
        <w:sz w:val="36"/>
        <w:szCs w:val="36"/>
      </w:rPr>
      <w:t>Annex No. 2 – Technical specification</w:t>
    </w:r>
  </w:p>
  <w:p w14:paraId="2294E0D1" w14:textId="77777777" w:rsidR="001D6B33" w:rsidRPr="00AE4513" w:rsidRDefault="001D6B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59"/>
    <w:rsid w:val="000174EF"/>
    <w:rsid w:val="00030DFC"/>
    <w:rsid w:val="000A16DB"/>
    <w:rsid w:val="000A591C"/>
    <w:rsid w:val="000F0B33"/>
    <w:rsid w:val="000F77D5"/>
    <w:rsid w:val="001C14E3"/>
    <w:rsid w:val="001D6B33"/>
    <w:rsid w:val="001F12A3"/>
    <w:rsid w:val="00205D55"/>
    <w:rsid w:val="00216F97"/>
    <w:rsid w:val="00274057"/>
    <w:rsid w:val="002C32B0"/>
    <w:rsid w:val="002D346B"/>
    <w:rsid w:val="002F1145"/>
    <w:rsid w:val="00306D3B"/>
    <w:rsid w:val="003400F4"/>
    <w:rsid w:val="00352475"/>
    <w:rsid w:val="00394587"/>
    <w:rsid w:val="003C32D5"/>
    <w:rsid w:val="003D5F0F"/>
    <w:rsid w:val="003E3D58"/>
    <w:rsid w:val="003E5A9D"/>
    <w:rsid w:val="00446A2D"/>
    <w:rsid w:val="004777B3"/>
    <w:rsid w:val="00531144"/>
    <w:rsid w:val="005824BB"/>
    <w:rsid w:val="005A27B6"/>
    <w:rsid w:val="00635142"/>
    <w:rsid w:val="00641B57"/>
    <w:rsid w:val="00650B13"/>
    <w:rsid w:val="00652093"/>
    <w:rsid w:val="0065505F"/>
    <w:rsid w:val="00665FA4"/>
    <w:rsid w:val="00667D97"/>
    <w:rsid w:val="0068151C"/>
    <w:rsid w:val="0070130F"/>
    <w:rsid w:val="00762AEA"/>
    <w:rsid w:val="007A53F5"/>
    <w:rsid w:val="007F08EC"/>
    <w:rsid w:val="00807219"/>
    <w:rsid w:val="00860C39"/>
    <w:rsid w:val="00892051"/>
    <w:rsid w:val="008D60CB"/>
    <w:rsid w:val="00920D1E"/>
    <w:rsid w:val="00974BA5"/>
    <w:rsid w:val="0097734C"/>
    <w:rsid w:val="009A1DF0"/>
    <w:rsid w:val="009A52D8"/>
    <w:rsid w:val="009B35F0"/>
    <w:rsid w:val="00A843DA"/>
    <w:rsid w:val="00AB3F8E"/>
    <w:rsid w:val="00AE4513"/>
    <w:rsid w:val="00B01107"/>
    <w:rsid w:val="00B46C0C"/>
    <w:rsid w:val="00B677F5"/>
    <w:rsid w:val="00B751B6"/>
    <w:rsid w:val="00BA656B"/>
    <w:rsid w:val="00BE4B59"/>
    <w:rsid w:val="00C83E0B"/>
    <w:rsid w:val="00C918EF"/>
    <w:rsid w:val="00CF548B"/>
    <w:rsid w:val="00D22992"/>
    <w:rsid w:val="00D27D14"/>
    <w:rsid w:val="00D51589"/>
    <w:rsid w:val="00D54247"/>
    <w:rsid w:val="00D55A54"/>
    <w:rsid w:val="00D571D1"/>
    <w:rsid w:val="00D83A8B"/>
    <w:rsid w:val="00D90827"/>
    <w:rsid w:val="00D9640A"/>
    <w:rsid w:val="00DA15B1"/>
    <w:rsid w:val="00DB74DD"/>
    <w:rsid w:val="00DC493E"/>
    <w:rsid w:val="00DD7A03"/>
    <w:rsid w:val="00DE1A14"/>
    <w:rsid w:val="00E37ECD"/>
    <w:rsid w:val="00E54F51"/>
    <w:rsid w:val="00E83C7A"/>
    <w:rsid w:val="00E8489D"/>
    <w:rsid w:val="00E86DA0"/>
    <w:rsid w:val="00E934AE"/>
    <w:rsid w:val="00EB0BCF"/>
    <w:rsid w:val="00EE3177"/>
    <w:rsid w:val="00F332A1"/>
    <w:rsid w:val="00FA7143"/>
    <w:rsid w:val="00FB0E3F"/>
    <w:rsid w:val="00FB6A9F"/>
    <w:rsid w:val="00FC5442"/>
    <w:rsid w:val="00FC5799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186"/>
  <w15:docId w15:val="{6AA84BA4-C007-45DA-A6E9-CAC7D1B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790"/>
      </w:tabs>
      <w:spacing w:before="120"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78</cp:revision>
  <dcterms:created xsi:type="dcterms:W3CDTF">2024-11-15T06:47:00Z</dcterms:created>
  <dcterms:modified xsi:type="dcterms:W3CDTF">2025-08-04T13:54:00Z</dcterms:modified>
</cp:coreProperties>
</file>