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FA4039" w14:textId="77777777" w:rsidR="003B6758" w:rsidRPr="003B6758" w:rsidRDefault="003B6758" w:rsidP="003B6758">
      <w:pPr>
        <w:rPr>
          <w:noProof/>
          <w:lang w:eastAsia="cs-CZ"/>
        </w:rPr>
      </w:pPr>
      <w:r w:rsidRPr="003B6758">
        <w:rPr>
          <w:noProof/>
          <w:lang w:eastAsia="cs-CZ"/>
        </w:rPr>
        <w:drawing>
          <wp:inline distT="0" distB="0" distL="0" distR="0" wp14:anchorId="63F023CF" wp14:editId="0E9AA4E1">
            <wp:extent cx="1470542" cy="791830"/>
            <wp:effectExtent l="0" t="0" r="0" b="889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1470542" cy="79183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E7E9D59" w14:textId="77777777" w:rsidR="003B6758" w:rsidRPr="003B6758" w:rsidRDefault="003B6758" w:rsidP="003B6758">
      <w:pPr>
        <w:rPr>
          <w:noProof/>
          <w:lang w:eastAsia="cs-CZ"/>
        </w:rPr>
      </w:pPr>
      <w:r w:rsidRPr="003B6758">
        <w:rPr>
          <w:noProof/>
          <w:lang w:eastAsia="cs-CZ"/>
        </w:rPr>
        <mc:AlternateContent>
          <mc:Choice Requires="wps">
            <w:drawing>
              <wp:anchor distT="0" distB="0" distL="114300" distR="114300" simplePos="0" relativeHeight="251658240" behindDoc="0" locked="1" layoutInCell="1" allowOverlap="1" wp14:anchorId="5DB3F5B2" wp14:editId="5BE5A313">
                <wp:simplePos x="0" y="0"/>
                <wp:positionH relativeFrom="margin">
                  <wp:align>left</wp:align>
                </wp:positionH>
                <wp:positionV relativeFrom="page">
                  <wp:posOffset>1676400</wp:posOffset>
                </wp:positionV>
                <wp:extent cx="6286500" cy="7724775"/>
                <wp:effectExtent l="0" t="0" r="0" b="9525"/>
                <wp:wrapNone/>
                <wp:docPr id="1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286500" cy="77247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908BBB5" w14:textId="77777777" w:rsidR="003B6758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7F15C8BF" w14:textId="77777777" w:rsidR="003B6758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01C337DC" w14:textId="77777777" w:rsidR="003B6758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394298C3" w14:textId="77777777" w:rsidR="003B6758" w:rsidRPr="00682B20" w:rsidRDefault="003B6758" w:rsidP="003B6758">
                            <w:pPr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4AEB4044" w14:textId="77777777" w:rsidR="003B6758" w:rsidRPr="00682B20" w:rsidRDefault="003B6758" w:rsidP="003B675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caps/>
                                <w:sz w:val="40"/>
                                <w:szCs w:val="40"/>
                              </w:rPr>
                              <w:t xml:space="preserve">ZADÁVACÍ DOKUMENTACE PRO VÝBĚR ZHOTOVITELE </w:t>
                            </w:r>
                          </w:p>
                          <w:p w14:paraId="3E0D4FDD" w14:textId="77777777" w:rsidR="003B6758" w:rsidRPr="00682B20" w:rsidRDefault="003B6758" w:rsidP="003B675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40"/>
                                <w:szCs w:val="40"/>
                              </w:rPr>
                            </w:pPr>
                          </w:p>
                          <w:p w14:paraId="1FBD9EFD" w14:textId="49D1E400" w:rsidR="003B6758" w:rsidRPr="00521CC0" w:rsidRDefault="003B6758" w:rsidP="003B675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6"/>
                                <w:szCs w:val="36"/>
                              </w:rPr>
                              <w:t>Modernizace teplárny Mladá Boleslav</w:t>
                            </w:r>
                            <w:r w:rsidRPr="00521CC0">
                              <w:rPr>
                                <w:rFonts w:ascii="Arial Narrow" w:hAnsi="Arial Narrow"/>
                                <w:b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889113F" w14:textId="77777777" w:rsidR="003B6758" w:rsidRDefault="003B6758" w:rsidP="003B675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4D6786B6" w14:textId="77777777" w:rsidR="003B6758" w:rsidRDefault="003B6758" w:rsidP="003B675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color w:val="70AD47" w:themeColor="accent6"/>
                                <w:sz w:val="36"/>
                                <w:szCs w:val="36"/>
                              </w:rPr>
                            </w:pPr>
                          </w:p>
                          <w:p w14:paraId="17A7D261" w14:textId="77777777" w:rsidR="003B6758" w:rsidRPr="00C67D42" w:rsidRDefault="003B6758" w:rsidP="003B675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bCs/>
                                <w:caps/>
                                <w:sz w:val="36"/>
                                <w:szCs w:val="36"/>
                              </w:rPr>
                            </w:pP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Obchodní balíček </w:t>
                            </w:r>
                            <w:r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 xml:space="preserve">OB </w:t>
                            </w:r>
                            <w:r w:rsidRPr="00C67D42">
                              <w:rPr>
                                <w:rFonts w:ascii="Arial Narrow" w:hAnsi="Arial Narrow"/>
                                <w:b/>
                                <w:bCs/>
                                <w:sz w:val="36"/>
                                <w:szCs w:val="36"/>
                              </w:rPr>
                              <w:t>2</w:t>
                            </w:r>
                          </w:p>
                          <w:p w14:paraId="1C3E9A0C" w14:textId="77777777" w:rsidR="003B6758" w:rsidRPr="00521CC0" w:rsidRDefault="003B6758" w:rsidP="003B675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</w:pPr>
                            <w:r>
                              <w:rPr>
                                <w:rFonts w:asciiTheme="minorBidi" w:hAnsiTheme="minorBidi"/>
                                <w:b/>
                                <w:bCs/>
                                <w:caps/>
                                <w:color w:val="70AD47" w:themeColor="accent6"/>
                                <w:sz w:val="56"/>
                                <w:szCs w:val="56"/>
                              </w:rPr>
                              <w:t>Kotelny</w:t>
                            </w:r>
                          </w:p>
                          <w:p w14:paraId="28A88ACA" w14:textId="77777777" w:rsidR="003B6758" w:rsidRDefault="003B6758" w:rsidP="003B675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</w:pPr>
                          </w:p>
                          <w:p w14:paraId="64E12559" w14:textId="49D77277" w:rsidR="003B6758" w:rsidRPr="00682B20" w:rsidRDefault="003B6758" w:rsidP="003B675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caps/>
                                <w:sz w:val="72"/>
                                <w:szCs w:val="72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caps/>
                                <w:sz w:val="72"/>
                                <w:szCs w:val="72"/>
                              </w:rPr>
                              <w:t xml:space="preserve">SVAZEK iii  </w:t>
                            </w:r>
                          </w:p>
                          <w:p w14:paraId="2C62A97D" w14:textId="77777777" w:rsidR="003B6758" w:rsidRPr="00682B20" w:rsidRDefault="003B6758" w:rsidP="003B675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b/>
                                <w:bCs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</w:pPr>
                            <w:r w:rsidRPr="00682B20">
                              <w:rPr>
                                <w:rFonts w:asciiTheme="majorBidi" w:hAnsiTheme="majorBidi" w:cstheme="majorBidi"/>
                                <w:b/>
                                <w:i/>
                                <w:iCs/>
                                <w:caps/>
                                <w:sz w:val="40"/>
                                <w:szCs w:val="40"/>
                              </w:rPr>
                              <w:t xml:space="preserve">TECHNICKÉ POŽADAVKY  </w:t>
                            </w:r>
                          </w:p>
                          <w:p w14:paraId="600CF84D" w14:textId="77777777" w:rsidR="003B6758" w:rsidRPr="00521CC0" w:rsidRDefault="003B6758" w:rsidP="003B675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6C9E7E48" w14:textId="77777777" w:rsidR="003B6758" w:rsidRPr="00521CC0" w:rsidRDefault="003B6758" w:rsidP="003B6758">
                            <w:pPr>
                              <w:jc w:val="center"/>
                              <w:rPr>
                                <w:rFonts w:asciiTheme="minorBidi" w:hAnsiTheme="minorBidi"/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175F87F8" w14:textId="1FFA98A9" w:rsidR="003B6758" w:rsidRPr="00682B20" w:rsidRDefault="003B6758" w:rsidP="003B6758">
                            <w:pPr>
                              <w:jc w:val="center"/>
                              <w:rPr>
                                <w:rFonts w:ascii="Arial Narrow" w:hAnsi="Arial Narrow"/>
                                <w:b/>
                                <w:caps/>
                                <w:sz w:val="36"/>
                                <w:szCs w:val="36"/>
                              </w:rPr>
                            </w:pPr>
                            <w:r w:rsidRPr="00682B20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>Příloha A</w:t>
                            </w:r>
                            <w:r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 3 Závazné Technické a </w:t>
                            </w:r>
                            <w:r w:rsidR="00734807">
                              <w:rPr>
                                <w:rFonts w:ascii="Arial Narrow" w:hAnsi="Arial Narrow"/>
                                <w:b/>
                                <w:sz w:val="36"/>
                                <w:szCs w:val="36"/>
                              </w:rPr>
                              <w:t xml:space="preserve">Funkční Požadavky </w:t>
                            </w:r>
                          </w:p>
                          <w:p w14:paraId="46EFF9A7" w14:textId="77777777" w:rsidR="003B6758" w:rsidRPr="00521CC0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  <w:r w:rsidRPr="00521CC0">
                              <w:rPr>
                                <w:b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7F495D39" w14:textId="77777777" w:rsidR="003B6758" w:rsidRPr="00521CC0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aps/>
                                <w:color w:val="70AD47" w:themeColor="accent6"/>
                                <w:sz w:val="32"/>
                                <w:szCs w:val="32"/>
                              </w:rPr>
                            </w:pPr>
                          </w:p>
                          <w:p w14:paraId="3C8A4094" w14:textId="77777777" w:rsidR="003B6758" w:rsidRPr="00D03144" w:rsidRDefault="003B6758" w:rsidP="003B6758">
                            <w:pPr>
                              <w:jc w:val="center"/>
                              <w:rPr>
                                <w:rFonts w:ascii="Calibri Light" w:hAnsi="Calibri Light"/>
                                <w:bCs/>
                              </w:rPr>
                            </w:pPr>
                            <w:r w:rsidRPr="00D03144">
                              <w:rPr>
                                <w:b/>
                                <w:caps/>
                                <w:sz w:val="24"/>
                              </w:rPr>
                              <w:t>ANNEX A 1 Subject and scope of the Contract</w:t>
                            </w:r>
                          </w:p>
                          <w:p w14:paraId="1EDC44C2" w14:textId="77777777" w:rsidR="003B6758" w:rsidRPr="00E63830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caps/>
                                <w:color w:val="C00000"/>
                                <w:sz w:val="24"/>
                              </w:rPr>
                            </w:pPr>
                          </w:p>
                          <w:p w14:paraId="03469BE6" w14:textId="77777777" w:rsidR="003B6758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6D77CBA" w14:textId="77777777" w:rsidR="003B6758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53D8D1EC" w14:textId="77777777" w:rsidR="003B6758" w:rsidRPr="00372AC0" w:rsidRDefault="003B6758" w:rsidP="003B6758">
                            <w:pPr>
                              <w:jc w:val="center"/>
                              <w:rPr>
                                <w:b/>
                                <w:bCs/>
                                <w:i/>
                                <w:iCs/>
                                <w:color w:val="F7CAAC" w:themeColor="accent2" w:themeTint="66"/>
                                <w:sz w:val="24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5DB3F5B2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left:0;text-align:left;margin-left:0;margin-top:132pt;width:495pt;height:608.25pt;z-index:251658240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" stroked="f">
                <v:textbox inset="0,0,0,0">
                  <w:txbxContent>
                    <w:p w14:paraId="1908BBB5" w14:textId="77777777" w:rsidR="003B6758" w:rsidRDefault="003B6758" w:rsidP="003B6758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7F15C8BF" w14:textId="77777777" w:rsidR="003B6758" w:rsidRDefault="003B6758" w:rsidP="003B6758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01C337DC" w14:textId="77777777" w:rsidR="003B6758" w:rsidRDefault="003B6758" w:rsidP="003B6758">
                      <w:pPr>
                        <w:jc w:val="center"/>
                        <w:rPr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394298C3" w14:textId="77777777" w:rsidR="003B6758" w:rsidRPr="00682B20" w:rsidRDefault="003B6758" w:rsidP="003B6758">
                      <w:pPr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4AEB4044" w14:textId="77777777" w:rsidR="003B6758" w:rsidRPr="00682B20" w:rsidRDefault="003B6758" w:rsidP="003B675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caps/>
                          <w:sz w:val="40"/>
                          <w:szCs w:val="40"/>
                        </w:rPr>
                        <w:t xml:space="preserve">ZADÁVACÍ DOKUMENTACE PRO VÝBĚR ZHOTOVITELE </w:t>
                      </w:r>
                    </w:p>
                    <w:p w14:paraId="3E0D4FDD" w14:textId="77777777" w:rsidR="003B6758" w:rsidRPr="00682B20" w:rsidRDefault="003B6758" w:rsidP="003B675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40"/>
                          <w:szCs w:val="40"/>
                        </w:rPr>
                      </w:pPr>
                    </w:p>
                    <w:p w14:paraId="1FBD9EFD" w14:textId="49D1E400" w:rsidR="003B6758" w:rsidRPr="00521CC0" w:rsidRDefault="003B6758" w:rsidP="003B675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6"/>
                          <w:szCs w:val="36"/>
                        </w:rPr>
                        <w:t>Modernizace teplárny Mladá Boleslav</w:t>
                      </w:r>
                      <w:r w:rsidRPr="00521CC0">
                        <w:rPr>
                          <w:rFonts w:ascii="Arial Narrow" w:hAnsi="Arial Narrow"/>
                          <w:b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4889113F" w14:textId="77777777" w:rsidR="003B6758" w:rsidRDefault="003B6758" w:rsidP="003B675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4D6786B6" w14:textId="77777777" w:rsidR="003B6758" w:rsidRDefault="003B6758" w:rsidP="003B675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color w:val="70AD47" w:themeColor="accent6"/>
                          <w:sz w:val="36"/>
                          <w:szCs w:val="36"/>
                        </w:rPr>
                      </w:pPr>
                    </w:p>
                    <w:p w14:paraId="17A7D261" w14:textId="77777777" w:rsidR="003B6758" w:rsidRPr="00C67D42" w:rsidRDefault="003B6758" w:rsidP="003B6758">
                      <w:pPr>
                        <w:jc w:val="center"/>
                        <w:rPr>
                          <w:rFonts w:ascii="Arial Narrow" w:hAnsi="Arial Narrow"/>
                          <w:b/>
                          <w:bCs/>
                          <w:caps/>
                          <w:sz w:val="36"/>
                          <w:szCs w:val="36"/>
                        </w:rPr>
                      </w:pP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Obchodní balíček </w:t>
                      </w:r>
                      <w:r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 xml:space="preserve">OB </w:t>
                      </w:r>
                      <w:r w:rsidRPr="00C67D42">
                        <w:rPr>
                          <w:rFonts w:ascii="Arial Narrow" w:hAnsi="Arial Narrow"/>
                          <w:b/>
                          <w:bCs/>
                          <w:sz w:val="36"/>
                          <w:szCs w:val="36"/>
                        </w:rPr>
                        <w:t>2</w:t>
                      </w:r>
                    </w:p>
                    <w:p w14:paraId="1C3E9A0C" w14:textId="77777777" w:rsidR="003B6758" w:rsidRPr="00521CC0" w:rsidRDefault="003B6758" w:rsidP="003B675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</w:pPr>
                      <w:r>
                        <w:rPr>
                          <w:rFonts w:asciiTheme="minorBidi" w:hAnsiTheme="minorBidi"/>
                          <w:b/>
                          <w:bCs/>
                          <w:caps/>
                          <w:color w:val="70AD47" w:themeColor="accent6"/>
                          <w:sz w:val="56"/>
                          <w:szCs w:val="56"/>
                        </w:rPr>
                        <w:t>Kotelny</w:t>
                      </w:r>
                    </w:p>
                    <w:p w14:paraId="28A88ACA" w14:textId="77777777" w:rsidR="003B6758" w:rsidRDefault="003B6758" w:rsidP="003B675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</w:pPr>
                    </w:p>
                    <w:p w14:paraId="64E12559" w14:textId="49D77277" w:rsidR="003B6758" w:rsidRPr="00682B20" w:rsidRDefault="003B6758" w:rsidP="003B675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caps/>
                          <w:sz w:val="72"/>
                          <w:szCs w:val="72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caps/>
                          <w:sz w:val="72"/>
                          <w:szCs w:val="72"/>
                        </w:rPr>
                        <w:t xml:space="preserve">SVAZEK iii  </w:t>
                      </w:r>
                    </w:p>
                    <w:p w14:paraId="2C62A97D" w14:textId="77777777" w:rsidR="003B6758" w:rsidRPr="00682B20" w:rsidRDefault="003B6758" w:rsidP="003B6758">
                      <w:pPr>
                        <w:jc w:val="center"/>
                        <w:rPr>
                          <w:rFonts w:asciiTheme="majorBidi" w:hAnsiTheme="majorBidi" w:cstheme="majorBidi"/>
                          <w:b/>
                          <w:bCs/>
                          <w:i/>
                          <w:iCs/>
                          <w:caps/>
                          <w:sz w:val="40"/>
                          <w:szCs w:val="40"/>
                        </w:rPr>
                      </w:pPr>
                      <w:r w:rsidRPr="00682B20">
                        <w:rPr>
                          <w:rFonts w:asciiTheme="majorBidi" w:hAnsiTheme="majorBidi" w:cstheme="majorBidi"/>
                          <w:b/>
                          <w:i/>
                          <w:iCs/>
                          <w:caps/>
                          <w:sz w:val="40"/>
                          <w:szCs w:val="40"/>
                        </w:rPr>
                        <w:t xml:space="preserve">TECHNICKÉ POŽADAVKY  </w:t>
                      </w:r>
                    </w:p>
                    <w:p w14:paraId="600CF84D" w14:textId="77777777" w:rsidR="003B6758" w:rsidRPr="00521CC0" w:rsidRDefault="003B6758" w:rsidP="003B675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6C9E7E48" w14:textId="77777777" w:rsidR="003B6758" w:rsidRPr="00521CC0" w:rsidRDefault="003B6758" w:rsidP="003B6758">
                      <w:pPr>
                        <w:jc w:val="center"/>
                        <w:rPr>
                          <w:rFonts w:asciiTheme="minorBidi" w:hAnsiTheme="minorBidi"/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175F87F8" w14:textId="1FFA98A9" w:rsidR="003B6758" w:rsidRPr="00682B20" w:rsidRDefault="003B6758" w:rsidP="003B6758">
                      <w:pPr>
                        <w:jc w:val="center"/>
                        <w:rPr>
                          <w:rFonts w:ascii="Arial Narrow" w:hAnsi="Arial Narrow"/>
                          <w:b/>
                          <w:caps/>
                          <w:sz w:val="36"/>
                          <w:szCs w:val="36"/>
                        </w:rPr>
                      </w:pPr>
                      <w:r w:rsidRPr="00682B20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>Příloha A</w:t>
                      </w:r>
                      <w:r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 3 Závazné Technické a </w:t>
                      </w:r>
                      <w:r w:rsidR="00734807">
                        <w:rPr>
                          <w:rFonts w:ascii="Arial Narrow" w:hAnsi="Arial Narrow"/>
                          <w:b/>
                          <w:sz w:val="36"/>
                          <w:szCs w:val="36"/>
                        </w:rPr>
                        <w:t xml:space="preserve">Funkční Požadavky </w:t>
                      </w:r>
                    </w:p>
                    <w:p w14:paraId="46EFF9A7" w14:textId="77777777" w:rsidR="003B6758" w:rsidRPr="00521CC0" w:rsidRDefault="003B6758" w:rsidP="003B6758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  <w:r w:rsidRPr="00521CC0">
                        <w:rPr>
                          <w:b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  <w:t xml:space="preserve"> </w:t>
                      </w:r>
                    </w:p>
                    <w:p w14:paraId="7F495D39" w14:textId="77777777" w:rsidR="003B6758" w:rsidRPr="00521CC0" w:rsidRDefault="003B6758" w:rsidP="003B6758">
                      <w:pPr>
                        <w:jc w:val="center"/>
                        <w:rPr>
                          <w:b/>
                          <w:bCs/>
                          <w:i/>
                          <w:iCs/>
                          <w:caps/>
                          <w:color w:val="70AD47" w:themeColor="accent6"/>
                          <w:sz w:val="32"/>
                          <w:szCs w:val="32"/>
                        </w:rPr>
                      </w:pPr>
                    </w:p>
                    <w:p w14:paraId="3C8A4094" w14:textId="77777777" w:rsidR="003B6758" w:rsidRPr="00D03144" w:rsidRDefault="003B6758" w:rsidP="003B6758">
                      <w:pPr>
                        <w:jc w:val="center"/>
                        <w:rPr>
                          <w:rFonts w:ascii="Calibri Light" w:hAnsi="Calibri Light"/>
                          <w:bCs/>
                        </w:rPr>
                      </w:pPr>
                      <w:r w:rsidRPr="00D03144">
                        <w:rPr>
                          <w:b/>
                          <w:caps/>
                          <w:sz w:val="24"/>
                        </w:rPr>
                        <w:t>ANNEX A 1 Subject and scope of the Contract</w:t>
                      </w:r>
                    </w:p>
                    <w:p w14:paraId="1EDC44C2" w14:textId="77777777" w:rsidR="003B6758" w:rsidRPr="00E63830" w:rsidRDefault="003B6758" w:rsidP="003B6758">
                      <w:pPr>
                        <w:jc w:val="center"/>
                        <w:rPr>
                          <w:b/>
                          <w:bCs/>
                          <w:caps/>
                          <w:color w:val="C00000"/>
                          <w:sz w:val="24"/>
                        </w:rPr>
                      </w:pPr>
                    </w:p>
                    <w:p w14:paraId="03469BE6" w14:textId="77777777" w:rsidR="003B6758" w:rsidRDefault="003B6758" w:rsidP="003B675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46D77CBA" w14:textId="77777777" w:rsidR="003B6758" w:rsidRDefault="003B6758" w:rsidP="003B675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  <w:p w14:paraId="53D8D1EC" w14:textId="77777777" w:rsidR="003B6758" w:rsidRPr="00372AC0" w:rsidRDefault="003B6758" w:rsidP="003B6758">
                      <w:pPr>
                        <w:jc w:val="center"/>
                        <w:rPr>
                          <w:b/>
                          <w:bCs/>
                          <w:i/>
                          <w:iCs/>
                          <w:color w:val="F7CAAC" w:themeColor="accent2" w:themeTint="66"/>
                          <w:sz w:val="24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  <w10:wrap anchorx="margin" anchory="page"/>
                <w10:anchorlock/>
              </v:shape>
            </w:pict>
          </mc:Fallback>
        </mc:AlternateContent>
      </w:r>
    </w:p>
    <w:p w14:paraId="5A676CF2" w14:textId="77777777" w:rsidR="003B6758" w:rsidRPr="003B6758" w:rsidRDefault="003B6758" w:rsidP="003B6758">
      <w:pPr>
        <w:rPr>
          <w:noProof/>
          <w:lang w:eastAsia="cs-CZ"/>
        </w:rPr>
      </w:pPr>
    </w:p>
    <w:p w14:paraId="4CCB6571" w14:textId="77777777" w:rsidR="003B6758" w:rsidRPr="003B6758" w:rsidRDefault="003B6758" w:rsidP="003B6758">
      <w:pPr>
        <w:rPr>
          <w:noProof/>
          <w:lang w:eastAsia="cs-CZ"/>
        </w:rPr>
      </w:pPr>
    </w:p>
    <w:p w14:paraId="31FF7E9D" w14:textId="77777777" w:rsidR="003B6758" w:rsidRPr="003B6758" w:rsidRDefault="003B6758" w:rsidP="003B6758">
      <w:pPr>
        <w:rPr>
          <w:noProof/>
          <w:lang w:eastAsia="cs-CZ"/>
        </w:rPr>
      </w:pPr>
    </w:p>
    <w:p w14:paraId="31A9095B" w14:textId="77777777" w:rsidR="003B6758" w:rsidRPr="003B6758" w:rsidRDefault="003B6758" w:rsidP="003B6758">
      <w:pPr>
        <w:rPr>
          <w:noProof/>
          <w:lang w:eastAsia="cs-CZ"/>
        </w:rPr>
      </w:pPr>
    </w:p>
    <w:p w14:paraId="3CD8A400" w14:textId="77777777" w:rsidR="003B6758" w:rsidRPr="003B6758" w:rsidRDefault="003B6758" w:rsidP="003B6758">
      <w:pPr>
        <w:rPr>
          <w:noProof/>
          <w:lang w:eastAsia="cs-CZ"/>
        </w:rPr>
      </w:pPr>
    </w:p>
    <w:p w14:paraId="5E1879D3" w14:textId="77777777" w:rsidR="003B6758" w:rsidRPr="003B6758" w:rsidRDefault="003B6758" w:rsidP="003B6758">
      <w:pPr>
        <w:rPr>
          <w:noProof/>
          <w:lang w:eastAsia="cs-CZ"/>
        </w:rPr>
      </w:pPr>
    </w:p>
    <w:p w14:paraId="6C068E15" w14:textId="77777777" w:rsidR="003B6758" w:rsidRPr="003B6758" w:rsidRDefault="003B6758" w:rsidP="003B6758">
      <w:pPr>
        <w:rPr>
          <w:noProof/>
          <w:lang w:eastAsia="cs-CZ"/>
        </w:rPr>
      </w:pPr>
    </w:p>
    <w:p w14:paraId="5285B430" w14:textId="77777777" w:rsidR="003B6758" w:rsidRPr="003B6758" w:rsidRDefault="003B6758" w:rsidP="003B6758">
      <w:pPr>
        <w:rPr>
          <w:noProof/>
          <w:lang w:eastAsia="cs-CZ"/>
        </w:rPr>
      </w:pPr>
    </w:p>
    <w:p w14:paraId="6E5E7950" w14:textId="77777777" w:rsidR="003B6758" w:rsidRPr="003B6758" w:rsidRDefault="003B6758" w:rsidP="003B6758">
      <w:pPr>
        <w:rPr>
          <w:noProof/>
          <w:lang w:eastAsia="cs-CZ"/>
        </w:rPr>
      </w:pPr>
    </w:p>
    <w:p w14:paraId="3960F723" w14:textId="77777777" w:rsidR="003B6758" w:rsidRPr="003B6758" w:rsidRDefault="003B6758" w:rsidP="003B6758">
      <w:pPr>
        <w:rPr>
          <w:noProof/>
          <w:lang w:eastAsia="cs-CZ"/>
        </w:rPr>
      </w:pPr>
    </w:p>
    <w:p w14:paraId="57F5C3F8" w14:textId="77777777" w:rsidR="003B6758" w:rsidRPr="003B6758" w:rsidRDefault="003B6758" w:rsidP="003B6758">
      <w:pPr>
        <w:rPr>
          <w:noProof/>
          <w:lang w:eastAsia="cs-CZ"/>
        </w:rPr>
      </w:pPr>
    </w:p>
    <w:p w14:paraId="0A6BDB29" w14:textId="77777777" w:rsidR="003B6758" w:rsidRPr="003B6758" w:rsidRDefault="003B6758" w:rsidP="003B6758">
      <w:pPr>
        <w:rPr>
          <w:noProof/>
          <w:lang w:eastAsia="cs-CZ"/>
        </w:rPr>
      </w:pPr>
    </w:p>
    <w:p w14:paraId="66C3741B" w14:textId="77777777" w:rsidR="003B6758" w:rsidRPr="003B6758" w:rsidRDefault="003B6758" w:rsidP="003B6758">
      <w:pPr>
        <w:rPr>
          <w:noProof/>
          <w:lang w:eastAsia="cs-CZ"/>
        </w:rPr>
      </w:pPr>
    </w:p>
    <w:p w14:paraId="734A2332" w14:textId="77777777" w:rsidR="003B6758" w:rsidRPr="003B6758" w:rsidRDefault="003B6758" w:rsidP="003B6758">
      <w:pPr>
        <w:rPr>
          <w:noProof/>
          <w:lang w:eastAsia="cs-CZ"/>
        </w:rPr>
      </w:pPr>
    </w:p>
    <w:p w14:paraId="7E352ADF" w14:textId="77777777" w:rsidR="003B6758" w:rsidRPr="003B6758" w:rsidRDefault="003B6758" w:rsidP="003B6758">
      <w:pPr>
        <w:rPr>
          <w:noProof/>
          <w:lang w:eastAsia="cs-CZ"/>
        </w:rPr>
      </w:pPr>
    </w:p>
    <w:p w14:paraId="58BABB00" w14:textId="77777777" w:rsidR="003B6758" w:rsidRPr="003B6758" w:rsidRDefault="003B6758" w:rsidP="003B6758">
      <w:pPr>
        <w:rPr>
          <w:noProof/>
          <w:lang w:eastAsia="cs-CZ"/>
        </w:rPr>
      </w:pPr>
    </w:p>
    <w:p w14:paraId="0EA4D0EF" w14:textId="77777777" w:rsidR="003B6758" w:rsidRPr="003B6758" w:rsidRDefault="003B6758" w:rsidP="003B6758">
      <w:pPr>
        <w:rPr>
          <w:noProof/>
          <w:lang w:eastAsia="cs-CZ"/>
        </w:rPr>
      </w:pPr>
    </w:p>
    <w:p w14:paraId="5437704F" w14:textId="77777777" w:rsidR="00317EAD" w:rsidRDefault="00317EAD"/>
    <w:p w14:paraId="6DDC5825" w14:textId="77777777" w:rsidR="00317EAD" w:rsidRDefault="00317EAD"/>
    <w:p w14:paraId="392E6E4A" w14:textId="77777777" w:rsidR="00317EAD" w:rsidRDefault="00317EAD"/>
    <w:p w14:paraId="4549E79F" w14:textId="77777777" w:rsidR="00317EAD" w:rsidRDefault="00317EAD"/>
    <w:p w14:paraId="3F479754" w14:textId="77777777" w:rsidR="00317EAD" w:rsidRDefault="00317EAD"/>
    <w:p w14:paraId="38853FD1" w14:textId="77777777" w:rsidR="00317EAD" w:rsidRDefault="00317EAD"/>
    <w:p w14:paraId="6AEE07A5" w14:textId="77777777" w:rsidR="00317EAD" w:rsidRDefault="00317EAD"/>
    <w:p w14:paraId="48A83329" w14:textId="77777777" w:rsidR="00317EAD" w:rsidRDefault="00317EAD"/>
    <w:p w14:paraId="77BF8D39" w14:textId="77777777" w:rsidR="00317EAD" w:rsidRDefault="00317EAD"/>
    <w:sdt>
      <w:sdtPr>
        <w:rPr>
          <w:rFonts w:ascii="Arial" w:eastAsiaTheme="minorHAnsi" w:hAnsi="Arial" w:cs="Arial"/>
          <w:color w:val="auto"/>
          <w:sz w:val="20"/>
          <w:szCs w:val="20"/>
          <w:lang w:eastAsia="en-US"/>
        </w:rPr>
        <w:id w:val="147491511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14:paraId="0A99C20A" w14:textId="77777777" w:rsidR="00682B20" w:rsidRPr="001E31A9" w:rsidRDefault="00682B20">
          <w:pPr>
            <w:pStyle w:val="Nadpisobsahu"/>
            <w:rPr>
              <w:rFonts w:ascii="Arial" w:hAnsi="Arial" w:cs="Arial"/>
              <w:b/>
              <w:bCs/>
              <w:color w:val="auto"/>
              <w:sz w:val="30"/>
              <w:szCs w:val="30"/>
            </w:rPr>
          </w:pPr>
          <w:r w:rsidRPr="001E31A9">
            <w:rPr>
              <w:rFonts w:ascii="Arial" w:hAnsi="Arial" w:cs="Arial"/>
              <w:b/>
              <w:bCs/>
              <w:color w:val="auto"/>
              <w:sz w:val="30"/>
              <w:szCs w:val="30"/>
            </w:rPr>
            <w:t>Obsah</w:t>
          </w:r>
        </w:p>
        <w:p w14:paraId="62806A4D" w14:textId="2D132C1C" w:rsidR="00D65FAF" w:rsidRPr="001E31A9" w:rsidRDefault="00682B20">
          <w:pPr>
            <w:pStyle w:val="Obsah1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r w:rsidRPr="001E31A9">
            <w:rPr>
              <w:rFonts w:ascii="Arial" w:hAnsi="Arial" w:cs="Arial"/>
              <w:sz w:val="20"/>
              <w:szCs w:val="20"/>
            </w:rPr>
            <w:fldChar w:fldCharType="begin"/>
          </w:r>
          <w:r w:rsidRPr="001E31A9">
            <w:rPr>
              <w:rFonts w:ascii="Arial" w:hAnsi="Arial" w:cs="Arial"/>
              <w:sz w:val="20"/>
              <w:szCs w:val="20"/>
            </w:rPr>
            <w:instrText xml:space="preserve"> TOC \o "1-3" \h \z \u </w:instrText>
          </w:r>
          <w:r w:rsidRPr="001E31A9">
            <w:rPr>
              <w:rFonts w:ascii="Arial" w:hAnsi="Arial" w:cs="Arial"/>
              <w:sz w:val="20"/>
              <w:szCs w:val="20"/>
            </w:rPr>
            <w:fldChar w:fldCharType="separate"/>
          </w:r>
          <w:hyperlink w:anchor="_Toc142307519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 Účel stavby a technické požadavky na stavbu jako celek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_Toc142307519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 w:rsidR="0075416D"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37AEF40" w14:textId="48B45FD1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20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1.1 Použité zkratky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_Toc142307520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4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E395DF0" w14:textId="288A7030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21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1.2 Základní požadované technické a funkční charakteristiky DÍLA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_Toc142307521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9D5AB6A" w14:textId="02CB36D5" w:rsidR="00D65FAF" w:rsidRPr="001E31A9" w:rsidRDefault="0075416D">
          <w:pPr>
            <w:pStyle w:val="Obsah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22" w:history="1">
            <w:r w:rsidR="00D65FAF" w:rsidRPr="001E31A9">
              <w:rPr>
                <w:rStyle w:val="Hypertextovodkaz"/>
                <w:rFonts w:ascii="Arial" w:hAnsi="Arial" w:cs="Arial"/>
                <w:bCs/>
                <w:noProof/>
                <w:sz w:val="20"/>
                <w:szCs w:val="20"/>
              </w:rPr>
              <w:t>1.2.1</w:t>
            </w:r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 xml:space="preserve"> Obecné požadavky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_Toc142307522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7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51DB236" w14:textId="1DA6DF33" w:rsidR="00D65FAF" w:rsidRPr="001E31A9" w:rsidRDefault="0075416D">
          <w:pPr>
            <w:pStyle w:val="Obsah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23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1.2.2 Požadavky BAT a legislativy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_Toc142307523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F4A9E01" w14:textId="53B2D551" w:rsidR="00D65FAF" w:rsidRPr="001E31A9" w:rsidRDefault="0075416D">
          <w:pPr>
            <w:pStyle w:val="Obsah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24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1.2.3 Jazyk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_Toc142307524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C9C64C8" w14:textId="53F2B666" w:rsidR="00D65FAF" w:rsidRPr="001E31A9" w:rsidRDefault="0075416D">
          <w:pPr>
            <w:pStyle w:val="Obsah1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25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 PROVOZNÍ A VÝKONNOSTNÍ PARAMETRY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_Toc142307525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8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6D30D06" w14:textId="05B5BF1E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26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2.1 Výkonnostní parametry budoucí JEDNOTKY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_Toc142307526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9A753C7" w14:textId="27C17DF4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27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2.2 Automatický provoz JEDNOTKY OB 2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_Toc142307527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345E6C3" w14:textId="24D7C94C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28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2.3 Způsob provozu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_Toc142307528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BB2AF24" w14:textId="3D7EC1F6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29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2.4 Zabezpečení technologických zařízení v zimním období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_Toc142307529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0F5CBEC" w14:textId="395F2648" w:rsidR="00D65FAF" w:rsidRPr="001E31A9" w:rsidRDefault="0075416D">
          <w:pPr>
            <w:pStyle w:val="Obsah1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30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3 MEDIA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_Toc142307530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9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09D0065" w14:textId="169659A7" w:rsidR="00D65FAF" w:rsidRPr="001E31A9" w:rsidRDefault="0075416D">
          <w:pPr>
            <w:pStyle w:val="Obsah1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31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4 SPOLEČNÝ PROVOZ NOVÉ A STARÉ TECHNOLOGIE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_Toc142307531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224C622" w14:textId="3523A49B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32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4.1 Období výstavby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_Toc142307532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7D1DCF7" w14:textId="33EB515F" w:rsidR="00D65FAF" w:rsidRPr="001E31A9" w:rsidRDefault="0075416D">
          <w:pPr>
            <w:pStyle w:val="Obsah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33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4.1.1 Organizační členění stavby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_Toc142307533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916FA89" w14:textId="63AE68EE" w:rsidR="00D65FAF" w:rsidRPr="001E31A9" w:rsidRDefault="0075416D">
          <w:pPr>
            <w:pStyle w:val="Obsah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34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4.1.2 Postup výstavby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_Toc142307534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1963350" w14:textId="5112F499" w:rsidR="00D65FAF" w:rsidRPr="001E31A9" w:rsidRDefault="0075416D">
          <w:pPr>
            <w:pStyle w:val="Obsah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35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4.1.2.1 Všeobecné podmínky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_Toc142307535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10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3B39DC" w14:textId="77F6C80D" w:rsidR="00D65FAF" w:rsidRPr="001E31A9" w:rsidRDefault="0075416D">
          <w:pPr>
            <w:pStyle w:val="Obsah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36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4.1.2.2 Etapizace výstavby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_Toc142307536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11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D2796CB" w14:textId="408DF816" w:rsidR="00D65FAF" w:rsidRPr="001E31A9" w:rsidRDefault="0075416D">
          <w:pPr>
            <w:pStyle w:val="Obsah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37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4.1.2.3 Problematika souběžné modernizace a provozu K80/90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_Toc142307537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11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2D0DCD6" w14:textId="5BD314AA" w:rsidR="00D65FAF" w:rsidRPr="001E31A9" w:rsidRDefault="0075416D">
          <w:pPr>
            <w:pStyle w:val="Obsah1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38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5 POŽADAVKY NA ŽIVOTNOST A SPOLEHLIVOST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_Toc142307538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12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1B4D795" w14:textId="039B71DA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39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5.1 Životnost DÍLA OB 2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_Toc142307539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12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1BF40CE" w14:textId="1D1716C5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40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5.2 Opravy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_Toc142307540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12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125D1DD" w14:textId="0E108671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41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5.3 Životnosti nových komponent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_Toc142307541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12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2F0D983" w14:textId="14480C2A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42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5.4 Požadovaná disponibilita JEDNOTKY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_Toc142307542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CD55959" w14:textId="558F6031" w:rsidR="00D65FAF" w:rsidRPr="001E31A9" w:rsidRDefault="0075416D">
          <w:pPr>
            <w:pStyle w:val="Obsah1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43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 POŽADAVKY PRO UDRŽBU ZAŘÍZENÍ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_Toc142307543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FD16E3F" w14:textId="17871A03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44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6.1 Předpokládaný systém údržby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_Toc142307544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07F223A" w14:textId="0256A762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45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6.2 Obsluhovatelnost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_Toc142307545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13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85105E0" w14:textId="6C9BABDA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46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6.3 Údržba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_Toc142307546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14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75B577D" w14:textId="08A7B2BC" w:rsidR="00D65FAF" w:rsidRPr="001E31A9" w:rsidRDefault="0075416D">
          <w:pPr>
            <w:pStyle w:val="Obsah1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47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7 PÉČE O ŽIVOTNÍ PROSTŘEDÍ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_Toc142307547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14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6382C94" w14:textId="751AC11A" w:rsidR="00D65FAF" w:rsidRPr="001E31A9" w:rsidRDefault="0075416D">
          <w:pPr>
            <w:pStyle w:val="Obsah1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48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 BEZPEČNOST PRÁCE A TECHNICKÝCH ZAŘÍZENÍ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_Toc142307548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14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412FF42" w14:textId="24B9C0FC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49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8.1 Obecná rizika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_Toc142307549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14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7D76A7C" w14:textId="37929A14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50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8.2 Vyhrazená technická zařízení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_Toc142307550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14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E1CD2EA" w14:textId="0CDB87BC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51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8.3 Ochrana proti nebezpečí výbuchu plynů, par a prachu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_Toc142307551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15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2D439DD" w14:textId="7011097C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52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8.4 Hygiena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_Toc142307552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16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2BCD1D7" w14:textId="6B821423" w:rsidR="00D65FAF" w:rsidRPr="001E31A9" w:rsidRDefault="0075416D">
          <w:pPr>
            <w:pStyle w:val="Obsah1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53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9 HLUK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_Toc142307553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17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0CAF701" w14:textId="038B6777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54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9.1 Hluk vně objektů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_Toc142307554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17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572A94B" w14:textId="0958BF28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55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9.2 Hluk vnitřní prostředí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_Toc142307555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17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D58A79" w14:textId="11821B98" w:rsidR="00D65FAF" w:rsidRPr="001E31A9" w:rsidRDefault="0075416D">
          <w:pPr>
            <w:pStyle w:val="Obsah1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56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10 POŽÁRNÍ BEZPEČNOST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_Toc142307556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17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D2E10E8" w14:textId="2F92E870" w:rsidR="00D65FAF" w:rsidRPr="001E31A9" w:rsidRDefault="0075416D">
          <w:pPr>
            <w:pStyle w:val="Obsah1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57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11 JINÉ POŽADAVKY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_Toc142307557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17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6B4B8306" w14:textId="4085E641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58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11.1 Použité jednotky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_Toc142307558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17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AEE6900" w14:textId="68064355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59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11.2 Systém jednotného značení KKS a jeho aplikace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_Toc142307559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18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73F0D87" w14:textId="0B1366C2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60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11.3 Štítky, popisy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_Toc142307560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18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8F6B66F" w14:textId="4B9DC3E1" w:rsidR="00D65FAF" w:rsidRPr="001E31A9" w:rsidRDefault="0075416D">
          <w:pPr>
            <w:pStyle w:val="Obsah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61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11.3.1 Potrubí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_Toc142307561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19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7BC17140" w14:textId="3C263EE3" w:rsidR="00D65FAF" w:rsidRPr="001E31A9" w:rsidRDefault="0075416D">
          <w:pPr>
            <w:pStyle w:val="Obsah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62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11.3.2 Popisy zařízení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_Toc142307562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19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4722958B" w14:textId="253F3446" w:rsidR="00D65FAF" w:rsidRPr="001E31A9" w:rsidRDefault="0075416D">
          <w:pPr>
            <w:pStyle w:val="Obsah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63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11.3.3 Štítkování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_Toc142307563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19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4CFC18D" w14:textId="1877D1AE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64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11.4 Barevné řešení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_Toc142307564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20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0140FFB7" w14:textId="54A7F11C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65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11.5 Standardizace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_Toc142307565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20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359EB984" w14:textId="3A6B69CC" w:rsidR="00D65FAF" w:rsidRPr="001E31A9" w:rsidRDefault="0075416D">
          <w:pPr>
            <w:pStyle w:val="Obsah2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66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11.6 Nátěry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_Toc142307566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20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253FD2F9" w14:textId="6F79B783" w:rsidR="00D65FAF" w:rsidRPr="001E31A9" w:rsidRDefault="0075416D">
          <w:pPr>
            <w:pStyle w:val="Obsah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67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11.6.1 Korozní agresivita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_Toc142307567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20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1C8D6D7B" w14:textId="39AE6875" w:rsidR="00D65FAF" w:rsidRPr="001E31A9" w:rsidRDefault="0075416D">
          <w:pPr>
            <w:pStyle w:val="Obsah3"/>
            <w:tabs>
              <w:tab w:val="right" w:leader="dot" w:pos="9060"/>
            </w:tabs>
            <w:rPr>
              <w:rFonts w:ascii="Arial" w:eastAsiaTheme="minorEastAsia" w:hAnsi="Arial" w:cs="Arial"/>
              <w:noProof/>
              <w:sz w:val="20"/>
              <w:szCs w:val="20"/>
              <w:lang w:eastAsia="zh-CN"/>
            </w:rPr>
          </w:pPr>
          <w:hyperlink w:anchor="_Toc142307568" w:history="1">
            <w:r w:rsidR="00D65FAF" w:rsidRPr="001E31A9">
              <w:rPr>
                <w:rStyle w:val="Hypertextovodkaz"/>
                <w:rFonts w:ascii="Arial" w:hAnsi="Arial" w:cs="Arial"/>
                <w:noProof/>
                <w:sz w:val="20"/>
                <w:szCs w:val="20"/>
              </w:rPr>
              <w:t>11.6.2 Obecné požadavky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tab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begin"/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instrText xml:space="preserve"> PAGEREF _Toc142307568 \h </w:instrTex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separate"/>
            </w:r>
            <w:r>
              <w:rPr>
                <w:rFonts w:ascii="Arial" w:hAnsi="Arial" w:cs="Arial"/>
                <w:noProof/>
                <w:webHidden/>
                <w:sz w:val="20"/>
                <w:szCs w:val="20"/>
              </w:rPr>
              <w:t>20</w:t>
            </w:r>
            <w:r w:rsidR="00D65FAF" w:rsidRPr="001E31A9">
              <w:rPr>
                <w:rFonts w:ascii="Arial" w:hAnsi="Arial" w:cs="Arial"/>
                <w:noProof/>
                <w:webHidden/>
                <w:sz w:val="20"/>
                <w:szCs w:val="20"/>
              </w:rPr>
              <w:fldChar w:fldCharType="end"/>
            </w:r>
          </w:hyperlink>
        </w:p>
        <w:p w14:paraId="53027FAF" w14:textId="78ADC50C" w:rsidR="00682B20" w:rsidRPr="001E31A9" w:rsidRDefault="00682B20">
          <w:pPr>
            <w:rPr>
              <w:rFonts w:ascii="Arial" w:hAnsi="Arial" w:cs="Arial"/>
              <w:sz w:val="20"/>
              <w:szCs w:val="20"/>
            </w:rPr>
          </w:pPr>
          <w:r w:rsidRPr="001E31A9">
            <w:rPr>
              <w:rFonts w:ascii="Arial" w:hAnsi="Arial" w:cs="Arial"/>
              <w:b/>
              <w:bCs/>
              <w:sz w:val="20"/>
              <w:szCs w:val="20"/>
            </w:rPr>
            <w:fldChar w:fldCharType="end"/>
          </w:r>
        </w:p>
      </w:sdtContent>
    </w:sdt>
    <w:p w14:paraId="21E9519D" w14:textId="41109C8E" w:rsidR="00583A3F" w:rsidRDefault="00583A3F">
      <w:r>
        <w:br w:type="page"/>
      </w:r>
    </w:p>
    <w:p w14:paraId="2C0AAE6A" w14:textId="05E84183" w:rsidR="00317EAD" w:rsidRPr="00734807" w:rsidRDefault="00CE56D8" w:rsidP="00D65FAF">
      <w:pPr>
        <w:pStyle w:val="TCBNadpis1"/>
      </w:pPr>
      <w:bookmarkStart w:id="0" w:name="_Toc142307519"/>
      <w:r w:rsidRPr="00734807">
        <w:lastRenderedPageBreak/>
        <w:t>Účel stavby a technické požadavky na stavbu jako celek</w:t>
      </w:r>
      <w:bookmarkEnd w:id="0"/>
    </w:p>
    <w:p w14:paraId="6BA3E432" w14:textId="73E2D935" w:rsidR="00BD38DC" w:rsidRDefault="00BD38DC" w:rsidP="00D65FAF">
      <w:pPr>
        <w:pStyle w:val="TCBNadpis2"/>
      </w:pPr>
      <w:bookmarkStart w:id="1" w:name="_Toc142307520"/>
      <w:r>
        <w:t xml:space="preserve">Použité </w:t>
      </w:r>
      <w:r w:rsidR="002A5478">
        <w:t>z</w:t>
      </w:r>
      <w:r>
        <w:t>kratky</w:t>
      </w:r>
      <w:bookmarkEnd w:id="1"/>
      <w:r>
        <w:t xml:space="preserve"> </w:t>
      </w:r>
    </w:p>
    <w:tbl>
      <w:tblPr>
        <w:tblW w:w="8446" w:type="dxa"/>
        <w:tblInd w:w="7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dotted" w:sz="4" w:space="0" w:color="808080"/>
          <w:insideV w:val="dotted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130"/>
        <w:gridCol w:w="7316"/>
      </w:tblGrid>
      <w:tr w:rsidR="00BD38DC" w:rsidRPr="008B2E82" w14:paraId="7EFA7595" w14:textId="77777777" w:rsidTr="00BB3C2B">
        <w:trPr>
          <w:trHeight w:val="270"/>
          <w:tblHeader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7D369F3D" w14:textId="77777777" w:rsidR="00BD38DC" w:rsidRPr="000E5ADE" w:rsidRDefault="00BD38DC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 Zkratka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BFBFBF"/>
            <w:noWrap/>
            <w:vAlign w:val="bottom"/>
          </w:tcPr>
          <w:p w14:paraId="3387E21E" w14:textId="77777777" w:rsidR="00BD38DC" w:rsidRPr="000E5ADE" w:rsidRDefault="00BD38DC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 Text</w:t>
            </w:r>
          </w:p>
        </w:tc>
      </w:tr>
      <w:tr w:rsidR="008B2E82" w:rsidRPr="008B2E82" w14:paraId="65D008FF" w14:textId="77777777" w:rsidTr="008901E1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97DC96A" w14:textId="7A3B0430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AŘ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9A4E41E" w14:textId="451C9801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Administrativní řád</w:t>
            </w:r>
          </w:p>
        </w:tc>
      </w:tr>
      <w:tr w:rsidR="008B2E82" w:rsidRPr="008B2E82" w14:paraId="0CC75293" w14:textId="77777777" w:rsidTr="008901E1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8F5FE04" w14:textId="42358FFA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ASŘTP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01EE86D" w14:textId="1BE1301B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 xml:space="preserve">Automatický systém řízení technologického procesu </w:t>
            </w:r>
          </w:p>
        </w:tc>
      </w:tr>
      <w:tr w:rsidR="008B2E82" w:rsidRPr="008B2E82" w14:paraId="4607ED07" w14:textId="77777777" w:rsidTr="008901E1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5B794FD" w14:textId="28FF3DD2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ATEX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7EDB819A" w14:textId="62F37C1A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Směrnice ATEX (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Atmosphères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Explosibles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) pro zařízení a ochranné systémy určené k použití v prostředí s nebezpečím výbuchu </w:t>
            </w:r>
          </w:p>
        </w:tc>
      </w:tr>
      <w:tr w:rsidR="008B2E82" w:rsidRPr="008B2E82" w14:paraId="3DA76631" w14:textId="77777777" w:rsidTr="008901E1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391CF797" w14:textId="3E74583D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 xml:space="preserve">BAT 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275331BA" w14:textId="1069DEB3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 xml:space="preserve">Best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Available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Techniques</w:t>
            </w:r>
            <w:proofErr w:type="spellEnd"/>
          </w:p>
        </w:tc>
      </w:tr>
      <w:tr w:rsidR="008B2E82" w:rsidRPr="008B2E82" w14:paraId="15D12C77" w14:textId="77777777" w:rsidTr="008901E1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5A08336D" w14:textId="489137E4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BEP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7A9BD55" w14:textId="061A0EE2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 xml:space="preserve">BIM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Execution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Plan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(Plán realizace BIM)</w:t>
            </w:r>
          </w:p>
        </w:tc>
      </w:tr>
      <w:tr w:rsidR="008B2E82" w:rsidRPr="008B2E82" w14:paraId="1216B616" w14:textId="77777777" w:rsidTr="008901E1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4A388C1" w14:textId="30B99A8B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BIM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60C21E71" w14:textId="1FE16B1B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Building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Modelling/Management</w:t>
            </w:r>
          </w:p>
        </w:tc>
      </w:tr>
      <w:tr w:rsidR="008B2E82" w:rsidRPr="008B2E82" w14:paraId="7BCAD984" w14:textId="77777777" w:rsidTr="008901E1">
        <w:trPr>
          <w:trHeight w:val="270"/>
        </w:trPr>
        <w:tc>
          <w:tcPr>
            <w:tcW w:w="113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0C542617" w14:textId="082014A4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BO</w:t>
            </w:r>
          </w:p>
        </w:tc>
        <w:tc>
          <w:tcPr>
            <w:tcW w:w="731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noWrap/>
            <w:vAlign w:val="bottom"/>
          </w:tcPr>
          <w:p w14:paraId="1345E765" w14:textId="4B3287E5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Běžná oprava</w:t>
            </w:r>
          </w:p>
        </w:tc>
      </w:tr>
      <w:tr w:rsidR="008B2E82" w:rsidRPr="008B2E82" w14:paraId="12624B36" w14:textId="77777777" w:rsidTr="008901E1">
        <w:trPr>
          <w:trHeight w:val="270"/>
        </w:trPr>
        <w:tc>
          <w:tcPr>
            <w:tcW w:w="1130" w:type="dxa"/>
            <w:shd w:val="clear" w:color="auto" w:fill="auto"/>
            <w:noWrap/>
            <w:vAlign w:val="bottom"/>
          </w:tcPr>
          <w:p w14:paraId="30079643" w14:textId="672CF8ED" w:rsidR="008B2E82" w:rsidRPr="000E5ADE" w:rsidRDefault="008B2E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BOZP</w:t>
            </w:r>
          </w:p>
        </w:tc>
        <w:tc>
          <w:tcPr>
            <w:tcW w:w="7316" w:type="dxa"/>
            <w:shd w:val="clear" w:color="auto" w:fill="auto"/>
            <w:noWrap/>
            <w:vAlign w:val="bottom"/>
          </w:tcPr>
          <w:p w14:paraId="2E1C652D" w14:textId="53DDCAA4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Bezpečnost a Ochrana Zdraví při Práci</w:t>
            </w:r>
          </w:p>
        </w:tc>
      </w:tr>
      <w:tr w:rsidR="008B2E82" w:rsidRPr="008B2E82" w14:paraId="66E29F03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FEC249E" w14:textId="4E3336E0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CE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1459E9D" w14:textId="08A00214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Conformité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européenne</w:t>
            </w:r>
            <w:proofErr w:type="spellEnd"/>
          </w:p>
        </w:tc>
      </w:tr>
      <w:tr w:rsidR="008B2E82" w:rsidRPr="008B2E82" w14:paraId="15BB3E52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EFB15DA" w14:textId="6B7323B9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CCTV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1821062" w14:textId="47C7D7C3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Closed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Circuit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Television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(uzavřený televizní okruh)</w:t>
            </w:r>
          </w:p>
        </w:tc>
      </w:tr>
      <w:tr w:rsidR="008B2E82" w:rsidRPr="008B2E82" w14:paraId="7AEFD967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B52848A" w14:textId="43FF3F4F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CEMS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7B3772D" w14:textId="2326391E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 xml:space="preserve">Systém emisního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monitorinku</w:t>
            </w:r>
            <w:proofErr w:type="spellEnd"/>
          </w:p>
        </w:tc>
      </w:tr>
      <w:tr w:rsidR="008B2E82" w:rsidRPr="008B2E82" w14:paraId="7C2ABC3C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E743F60" w14:textId="29FDCFCF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CDE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CB02290" w14:textId="44A6CFA6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Společné datové prostředí (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Common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data Environment)</w:t>
            </w:r>
          </w:p>
        </w:tc>
      </w:tr>
      <w:tr w:rsidR="008B2E82" w:rsidRPr="008B2E82" w14:paraId="6F23ABFD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E844668" w14:textId="6B8F8AC7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č.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38DB9F5" w14:textId="20A4F6EE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Číslo</w:t>
            </w:r>
          </w:p>
        </w:tc>
      </w:tr>
      <w:tr w:rsidR="008B2E82" w:rsidRPr="008B2E82" w14:paraId="33A3A2BC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68A0DC2" w14:textId="564775F4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ČR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93EA744" w14:textId="2B3D3BCC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Česká republika</w:t>
            </w:r>
          </w:p>
        </w:tc>
      </w:tr>
      <w:tr w:rsidR="008B2E82" w:rsidRPr="008B2E82" w14:paraId="27F2BC6C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7A6E7A1" w14:textId="424F8BC1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ČSN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910E374" w14:textId="5BFAA4CA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Česká technická norma</w:t>
            </w:r>
          </w:p>
        </w:tc>
      </w:tr>
      <w:tr w:rsidR="00D10EDB" w:rsidRPr="008B2E82" w14:paraId="11788161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7356D332" w14:textId="16DD6DF1" w:rsidR="00D10EDB" w:rsidRPr="000E5ADE" w:rsidRDefault="00D10EDB">
            <w:pPr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DIN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4F1207E" w14:textId="3169896E" w:rsidR="00D10EDB" w:rsidRPr="000E5ADE" w:rsidRDefault="00D10EDB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>
              <w:rPr>
                <w:rFonts w:ascii="Arial" w:hAnsi="Arial" w:cs="Arial"/>
                <w:sz w:val="20"/>
                <w:szCs w:val="20"/>
              </w:rPr>
              <w:t>Deutsche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Industrie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Normen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2E82" w:rsidRPr="008B2E82" w14:paraId="222F4C0E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6334890" w14:textId="38172095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DOSS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873812D" w14:textId="040512DF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Dotčené orgány státní správy</w:t>
            </w:r>
          </w:p>
        </w:tc>
      </w:tr>
      <w:tr w:rsidR="008B2E82" w:rsidRPr="008B2E82" w14:paraId="58900638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B856B1D" w14:textId="152397F8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DPS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86AE997" w14:textId="45042BDB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Dokumentace pro provádění stavby</w:t>
            </w:r>
          </w:p>
        </w:tc>
      </w:tr>
      <w:tr w:rsidR="008B2E82" w:rsidRPr="008B2E82" w14:paraId="401C6523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84B6D4F" w14:textId="12DA46FA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DSP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0AD36CE" w14:textId="372F750E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Dokumentace pro stavební povolení</w:t>
            </w:r>
          </w:p>
        </w:tc>
      </w:tr>
      <w:tr w:rsidR="008B2E82" w:rsidRPr="008B2E82" w14:paraId="43918C1D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C60C390" w14:textId="4BAB460C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DSPS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73B289B" w14:textId="7DB87F70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Dokumentace skutečného provedení stavby</w:t>
            </w:r>
          </w:p>
        </w:tc>
      </w:tr>
      <w:tr w:rsidR="008B2E82" w:rsidRPr="008B2E82" w14:paraId="2389ECF4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1B90B27" w14:textId="33F2A61B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DŠ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2EDB01B" w14:textId="5430C517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 xml:space="preserve">Dřevní štěpka </w:t>
            </w:r>
          </w:p>
        </w:tc>
      </w:tr>
      <w:tr w:rsidR="008B2E82" w:rsidRPr="008B2E82" w14:paraId="74DC5AD5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7D540AE7" w14:textId="6500BAFA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 xml:space="preserve">DOV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C333DF3" w14:textId="5963669C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 xml:space="preserve">Dešťové odpadní vody </w:t>
            </w:r>
          </w:p>
        </w:tc>
      </w:tr>
      <w:tr w:rsidR="008B2E82" w:rsidRPr="008B2E82" w14:paraId="06BE1B75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4958920" w14:textId="76299C28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 xml:space="preserve">EIA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7BA7242" w14:textId="72853030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 xml:space="preserve">Hodnocení vlivu na životní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protředí</w:t>
            </w:r>
            <w:proofErr w:type="spellEnd"/>
          </w:p>
        </w:tc>
      </w:tr>
      <w:tr w:rsidR="008B2E82" w:rsidRPr="008B2E82" w14:paraId="0412993B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63003F0" w14:textId="2976259E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EIR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B13DD03" w14:textId="198B5FE8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 xml:space="preserve">Exchange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Information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Requirements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(Požadavky na výměnu informací)</w:t>
            </w:r>
          </w:p>
        </w:tc>
      </w:tr>
      <w:tr w:rsidR="008B2E82" w:rsidRPr="008B2E82" w14:paraId="3BF3E22C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88D1771" w14:textId="6C8C5F67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EMC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7C92DEE" w14:textId="252ED4B3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Elektromagnetická kompatibilita</w:t>
            </w:r>
          </w:p>
        </w:tc>
      </w:tr>
      <w:tr w:rsidR="008B2E82" w:rsidRPr="008B2E82" w14:paraId="5FAC1348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6387C3E" w14:textId="3DF09B84" w:rsidR="008B2E82" w:rsidRPr="000E5ADE" w:rsidRDefault="008B2E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EN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0030A3A" w14:textId="498A4DF7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Evropské normy</w:t>
            </w:r>
          </w:p>
        </w:tc>
      </w:tr>
      <w:tr w:rsidR="008B2E82" w:rsidRPr="008B2E82" w14:paraId="3FB7FECE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76CA48B" w14:textId="582BBD73" w:rsidR="008B2E82" w:rsidRPr="000E5ADE" w:rsidRDefault="008B2E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lastRenderedPageBreak/>
              <w:t>EPS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DF15E35" w14:textId="485408EA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Elektronická požární signalizace</w:t>
            </w:r>
          </w:p>
        </w:tc>
      </w:tr>
      <w:tr w:rsidR="008B2E82" w:rsidRPr="008B2E82" w14:paraId="7B75062C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0B6FFBA" w14:textId="5AE6DCBC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FAC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77D42B5" w14:textId="65AF0F6E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Final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2E82" w:rsidRPr="008B2E82" w14:paraId="36002F99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37ABFD1" w14:textId="07EFE7D3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FAT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71D9C41" w14:textId="199D3C9B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Factory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Test</w:t>
            </w:r>
          </w:p>
        </w:tc>
      </w:tr>
      <w:tr w:rsidR="008B2E82" w:rsidRPr="008B2E82" w14:paraId="377E2722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02ECD16" w14:textId="402ACD91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FM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E7E89ED" w14:textId="451D038D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Frekvenční měnič</w:t>
            </w:r>
          </w:p>
        </w:tc>
      </w:tr>
      <w:tr w:rsidR="008B2E82" w:rsidRPr="008B2E82" w14:paraId="3B70F5B8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7DB01B9D" w14:textId="2DEE299E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GO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8205530" w14:textId="24BF70A9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Generální oprava</w:t>
            </w:r>
          </w:p>
        </w:tc>
      </w:tr>
      <w:tr w:rsidR="008B2E82" w:rsidRPr="008B2E82" w14:paraId="6A0DCA9C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778F612B" w14:textId="5F51CA33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H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28F99D8" w14:textId="5FC6F951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Hold point (zádržný bod)</w:t>
            </w:r>
          </w:p>
        </w:tc>
      </w:tr>
      <w:tr w:rsidR="008B2E82" w:rsidRPr="008B2E82" w14:paraId="2639AED8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E22A607" w14:textId="6F577CC1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HMG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2482ED7" w14:textId="0A59DA46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Harmonogram</w:t>
            </w:r>
          </w:p>
        </w:tc>
      </w:tr>
      <w:tr w:rsidR="008B2E82" w:rsidRPr="008B2E82" w14:paraId="108EB7B3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DF56BEA" w14:textId="3417611C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HAZOP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B39B984" w14:textId="7FF5330E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Hazard and Operability Study</w:t>
            </w:r>
          </w:p>
        </w:tc>
      </w:tr>
      <w:tr w:rsidR="008B2E82" w:rsidRPr="008B2E82" w14:paraId="7561016A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E2A1116" w14:textId="0F3A6E2B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HW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EDE68A3" w14:textId="4FA11D7E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Hardware</w:t>
            </w:r>
          </w:p>
        </w:tc>
      </w:tr>
      <w:tr w:rsidR="008B2E82" w:rsidRPr="008B2E82" w14:paraId="2D1E71F9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580354C" w14:textId="72F55B9D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CHOPAV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2896CC4" w14:textId="49C88501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Chráněná oblast přirozené akumulace vod</w:t>
            </w:r>
          </w:p>
        </w:tc>
      </w:tr>
      <w:tr w:rsidR="008B2E82" w:rsidRPr="008B2E82" w14:paraId="780E4480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4071DF9" w14:textId="2CA351A7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>IAPWS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0159BFF" w14:textId="235EC04C" w:rsidR="008B2E82" w:rsidRPr="000E5ADE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E5ADE">
              <w:rPr>
                <w:rFonts w:ascii="Arial" w:hAnsi="Arial" w:cs="Arial"/>
                <w:sz w:val="20"/>
                <w:szCs w:val="20"/>
              </w:rPr>
              <w:t xml:space="preserve">International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Association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for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the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Properties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of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Water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and </w:t>
            </w:r>
            <w:proofErr w:type="spellStart"/>
            <w:r w:rsidRPr="000E5ADE">
              <w:rPr>
                <w:rFonts w:ascii="Arial" w:hAnsi="Arial" w:cs="Arial"/>
                <w:sz w:val="20"/>
                <w:szCs w:val="20"/>
              </w:rPr>
              <w:t>Steam</w:t>
            </w:r>
            <w:proofErr w:type="spellEnd"/>
            <w:r w:rsidRPr="000E5ADE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2E82" w:rsidRPr="008B2E82" w14:paraId="2F4F5FBB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666CB8C" w14:textId="48F27E44" w:rsidR="008B2E82" w:rsidRPr="009040E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9040E5">
              <w:rPr>
                <w:rFonts w:ascii="Arial" w:hAnsi="Arial" w:cs="Arial"/>
                <w:sz w:val="20"/>
                <w:szCs w:val="20"/>
              </w:rPr>
              <w:t>IEC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09BAD2D" w14:textId="19E2C60E" w:rsidR="008B2E82" w:rsidRPr="009040E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9040E5">
              <w:rPr>
                <w:rFonts w:ascii="Arial" w:hAnsi="Arial" w:cs="Arial"/>
                <w:sz w:val="20"/>
                <w:szCs w:val="20"/>
              </w:rPr>
              <w:t xml:space="preserve">Mezinárodní elektrotechnická komise (International </w:t>
            </w:r>
            <w:proofErr w:type="spellStart"/>
            <w:r w:rsidRPr="009040E5">
              <w:rPr>
                <w:rFonts w:ascii="Arial" w:hAnsi="Arial" w:cs="Arial"/>
                <w:sz w:val="20"/>
                <w:szCs w:val="20"/>
              </w:rPr>
              <w:t>Electrotechnical</w:t>
            </w:r>
            <w:proofErr w:type="spellEnd"/>
            <w:r w:rsidRPr="009040E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9040E5">
              <w:rPr>
                <w:rFonts w:ascii="Arial" w:hAnsi="Arial" w:cs="Arial"/>
                <w:sz w:val="20"/>
                <w:szCs w:val="20"/>
              </w:rPr>
              <w:t>Commission</w:t>
            </w:r>
            <w:proofErr w:type="spellEnd"/>
            <w:r w:rsidRPr="009040E5">
              <w:rPr>
                <w:rFonts w:ascii="Arial" w:hAnsi="Arial" w:cs="Arial"/>
                <w:sz w:val="20"/>
                <w:szCs w:val="20"/>
              </w:rPr>
              <w:t>)</w:t>
            </w:r>
          </w:p>
        </w:tc>
      </w:tr>
      <w:tr w:rsidR="008B2E82" w:rsidRPr="008B2E82" w14:paraId="5D42F24B" w14:textId="77777777" w:rsidTr="008901E1">
        <w:trPr>
          <w:trHeight w:val="647"/>
        </w:trPr>
        <w:tc>
          <w:tcPr>
            <w:tcW w:w="1130" w:type="dxa"/>
            <w:shd w:val="clear" w:color="auto" w:fill="auto"/>
            <w:vAlign w:val="bottom"/>
          </w:tcPr>
          <w:p w14:paraId="13184E3F" w14:textId="2399AE80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IFC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67E7B0A" w14:textId="14C67C2C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983">
              <w:rPr>
                <w:rFonts w:ascii="Arial" w:hAnsi="Arial" w:cs="Arial"/>
                <w:sz w:val="20"/>
                <w:szCs w:val="20"/>
              </w:rPr>
              <w:t>Industry</w:t>
            </w:r>
            <w:proofErr w:type="spellEnd"/>
            <w:r w:rsidRPr="004139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983">
              <w:rPr>
                <w:rFonts w:ascii="Arial" w:hAnsi="Arial" w:cs="Arial"/>
                <w:sz w:val="20"/>
                <w:szCs w:val="20"/>
              </w:rPr>
              <w:t>Foundation</w:t>
            </w:r>
            <w:proofErr w:type="spellEnd"/>
            <w:r w:rsidRPr="004139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983">
              <w:rPr>
                <w:rFonts w:ascii="Arial" w:hAnsi="Arial" w:cs="Arial"/>
                <w:sz w:val="20"/>
                <w:szCs w:val="20"/>
              </w:rPr>
              <w:t>Classes</w:t>
            </w:r>
            <w:proofErr w:type="spellEnd"/>
            <w:r w:rsidRPr="00413983">
              <w:rPr>
                <w:rFonts w:ascii="Arial" w:hAnsi="Arial" w:cs="Arial"/>
                <w:sz w:val="20"/>
                <w:szCs w:val="20"/>
              </w:rPr>
              <w:t>/formát</w:t>
            </w:r>
          </w:p>
        </w:tc>
      </w:tr>
      <w:tr w:rsidR="008B2E82" w:rsidRPr="008B2E82" w14:paraId="5E993205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C5601E8" w14:textId="1D965331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IO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A94193E" w14:textId="2B0242EA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 xml:space="preserve">Inženýrský objekt </w:t>
            </w:r>
          </w:p>
        </w:tc>
      </w:tr>
      <w:tr w:rsidR="008B2E82" w:rsidRPr="008B2E82" w14:paraId="446C4E8C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3620C322" w14:textId="543D7A1F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I/O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1EAB69C" w14:textId="20AF1791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 xml:space="preserve">Input/output </w:t>
            </w:r>
            <w:proofErr w:type="spellStart"/>
            <w:r w:rsidRPr="00413983">
              <w:rPr>
                <w:rFonts w:ascii="Arial" w:hAnsi="Arial" w:cs="Arial"/>
                <w:sz w:val="20"/>
                <w:szCs w:val="20"/>
              </w:rPr>
              <w:t>signals</w:t>
            </w:r>
            <w:proofErr w:type="spellEnd"/>
          </w:p>
        </w:tc>
      </w:tr>
      <w:tr w:rsidR="008B2E82" w:rsidRPr="008B2E82" w14:paraId="32C4A331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A0E1C77" w14:textId="6214FB5C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IPPC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A66BF45" w14:textId="494AC37A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Integrované povolení</w:t>
            </w:r>
          </w:p>
        </w:tc>
      </w:tr>
      <w:tr w:rsidR="008B2E82" w:rsidRPr="008B2E82" w14:paraId="5099487F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3CB56292" w14:textId="7599E47D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ISO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59357BA" w14:textId="4F3FD84E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Mezinárodní organizace pro normalizaci</w:t>
            </w:r>
          </w:p>
        </w:tc>
      </w:tr>
      <w:tr w:rsidR="008B2E82" w:rsidRPr="008B2E82" w14:paraId="2543196A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37F0662" w14:textId="6E7C2886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IT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B2493B3" w14:textId="487CD412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Informační Technologie</w:t>
            </w:r>
          </w:p>
        </w:tc>
      </w:tr>
      <w:tr w:rsidR="008B2E82" w:rsidRPr="008B2E82" w14:paraId="340B3DF1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A32B3C1" w14:textId="7B3B3888" w:rsidR="008B2E82" w:rsidRPr="00413983" w:rsidRDefault="008B2E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ITS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626A817" w14:textId="0E73930F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Interní technické standardy Škoda</w:t>
            </w:r>
          </w:p>
        </w:tc>
      </w:tr>
      <w:tr w:rsidR="008B2E82" w:rsidRPr="008B2E82" w14:paraId="1DD9E45C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E541A3F" w14:textId="265FD704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IZ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B7FB89A" w14:textId="10791E0B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Individuální zkoušky</w:t>
            </w:r>
          </w:p>
        </w:tc>
      </w:tr>
      <w:tr w:rsidR="008B2E82" w:rsidRPr="008B2E82" w14:paraId="2E845D26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B1A4D00" w14:textId="3FBD2E0B" w:rsidR="008B2E82" w:rsidRPr="00413983" w:rsidRDefault="008B2E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proofErr w:type="spellStart"/>
            <w:r w:rsidRPr="00413983">
              <w:rPr>
                <w:rFonts w:ascii="Arial" w:hAnsi="Arial" w:cs="Arial"/>
                <w:sz w:val="20"/>
                <w:szCs w:val="20"/>
              </w:rPr>
              <w:t>k.ú</w:t>
            </w:r>
            <w:proofErr w:type="spellEnd"/>
            <w:r w:rsidRPr="004139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B08DFF3" w14:textId="3E9CD487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Katastrální území</w:t>
            </w:r>
          </w:p>
        </w:tc>
      </w:tr>
      <w:tr w:rsidR="008B2E82" w:rsidRPr="008B2E82" w14:paraId="65B02ACC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6F6358D" w14:textId="3CC395EF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KV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E712548" w14:textId="1FD93E64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Komplexní vyzkoušení</w:t>
            </w:r>
          </w:p>
        </w:tc>
      </w:tr>
      <w:tr w:rsidR="008B2E82" w:rsidRPr="008B2E82" w14:paraId="64F10795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3266C6AD" w14:textId="28261DB4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NN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BE0AA46" w14:textId="1FBDD5FB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Nízkonapěťový</w:t>
            </w:r>
          </w:p>
        </w:tc>
      </w:tr>
      <w:tr w:rsidR="008B2E82" w:rsidRPr="008B2E82" w14:paraId="3025B219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DBCDC43" w14:textId="1148136F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NN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15AB6DB" w14:textId="312BAE9B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Napájecí nádrž</w:t>
            </w:r>
          </w:p>
        </w:tc>
      </w:tr>
      <w:tr w:rsidR="008B2E82" w:rsidRPr="008B2E82" w14:paraId="119E6B89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312E27F3" w14:textId="1C4DE9B9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 xml:space="preserve">NV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2BF57F6" w14:textId="33963629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 xml:space="preserve">Nařízení vlády </w:t>
            </w:r>
          </w:p>
        </w:tc>
      </w:tr>
      <w:tr w:rsidR="008B2E82" w:rsidRPr="008B2E82" w14:paraId="76EF232B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5902138" w14:textId="27830928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OK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5570889" w14:textId="23F75326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Ocelová konstrukce</w:t>
            </w:r>
          </w:p>
        </w:tc>
      </w:tr>
      <w:tr w:rsidR="008B2E82" w:rsidRPr="008B2E82" w14:paraId="7A05B37F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F2519B0" w14:textId="69A1096A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983">
              <w:rPr>
                <w:rFonts w:ascii="Arial" w:hAnsi="Arial" w:cs="Arial"/>
                <w:sz w:val="20"/>
                <w:szCs w:val="20"/>
              </w:rPr>
              <w:t>parc.č</w:t>
            </w:r>
            <w:proofErr w:type="spellEnd"/>
            <w:r w:rsidRPr="00413983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D575285" w14:textId="16668476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Parcelní číslo</w:t>
            </w:r>
          </w:p>
        </w:tc>
      </w:tr>
      <w:tr w:rsidR="008B2E82" w:rsidRPr="008B2E82" w14:paraId="251AA07C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7C400A7" w14:textId="11D12D24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PAC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559E7B3" w14:textId="2B536A75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983">
              <w:rPr>
                <w:rFonts w:ascii="Arial" w:hAnsi="Arial" w:cs="Arial"/>
                <w:sz w:val="20"/>
                <w:szCs w:val="20"/>
              </w:rPr>
              <w:t>Preliminary</w:t>
            </w:r>
            <w:proofErr w:type="spellEnd"/>
            <w:r w:rsidRPr="004139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983">
              <w:rPr>
                <w:rFonts w:ascii="Arial" w:hAnsi="Arial" w:cs="Arial"/>
                <w:sz w:val="20"/>
                <w:szCs w:val="20"/>
              </w:rPr>
              <w:t>Acceptance</w:t>
            </w:r>
            <w:proofErr w:type="spellEnd"/>
            <w:r w:rsidRPr="004139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983">
              <w:rPr>
                <w:rFonts w:ascii="Arial" w:hAnsi="Arial" w:cs="Arial"/>
                <w:sz w:val="20"/>
                <w:szCs w:val="20"/>
              </w:rPr>
              <w:t>Certificate</w:t>
            </w:r>
            <w:proofErr w:type="spellEnd"/>
            <w:r w:rsidRPr="00413983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</w:tc>
      </w:tr>
      <w:tr w:rsidR="008B2E82" w:rsidRPr="008B2E82" w14:paraId="6599AA41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98B8274" w14:textId="6286427E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lastRenderedPageBreak/>
              <w:t>PED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818419B" w14:textId="2B048006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983">
              <w:rPr>
                <w:rFonts w:ascii="Arial" w:hAnsi="Arial" w:cs="Arial"/>
                <w:sz w:val="20"/>
                <w:szCs w:val="20"/>
              </w:rPr>
              <w:t>Pressure</w:t>
            </w:r>
            <w:proofErr w:type="spellEnd"/>
            <w:r w:rsidRPr="004139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983">
              <w:rPr>
                <w:rFonts w:ascii="Arial" w:hAnsi="Arial" w:cs="Arial"/>
                <w:sz w:val="20"/>
                <w:szCs w:val="20"/>
              </w:rPr>
              <w:t>Equipment</w:t>
            </w:r>
            <w:proofErr w:type="spellEnd"/>
            <w:r w:rsidRPr="00413983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Pr="00413983">
              <w:rPr>
                <w:rFonts w:ascii="Arial" w:hAnsi="Arial" w:cs="Arial"/>
                <w:sz w:val="20"/>
                <w:szCs w:val="20"/>
              </w:rPr>
              <w:t>Directive</w:t>
            </w:r>
            <w:proofErr w:type="spellEnd"/>
          </w:p>
        </w:tc>
      </w:tr>
      <w:tr w:rsidR="008B2E82" w:rsidRPr="008B2E82" w14:paraId="7F788EAF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3255C60" w14:textId="201A29B6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P&amp;I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B55A3C4" w14:textId="7645C802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413983">
              <w:rPr>
                <w:rFonts w:ascii="Arial" w:hAnsi="Arial" w:cs="Arial"/>
                <w:sz w:val="20"/>
                <w:szCs w:val="20"/>
              </w:rPr>
              <w:t>Piping</w:t>
            </w:r>
            <w:proofErr w:type="spellEnd"/>
            <w:r w:rsidRPr="00413983">
              <w:rPr>
                <w:rFonts w:ascii="Arial" w:hAnsi="Arial" w:cs="Arial"/>
                <w:sz w:val="20"/>
                <w:szCs w:val="20"/>
              </w:rPr>
              <w:t xml:space="preserve"> and instrument diagram</w:t>
            </w:r>
          </w:p>
        </w:tc>
      </w:tr>
      <w:tr w:rsidR="008B2E82" w:rsidRPr="008B2E82" w14:paraId="0D10069F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F06D2C6" w14:textId="6E16E360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PD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3D0D1DE" w14:textId="3452E4E6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Pasový dopravník</w:t>
            </w:r>
          </w:p>
        </w:tc>
      </w:tr>
      <w:tr w:rsidR="008B2E82" w:rsidRPr="008B2E82" w14:paraId="1E1DBFDD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3ADAB47D" w14:textId="7844E2C4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PD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34AF81F" w14:textId="25F8C99A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Prováděcí dokumentace</w:t>
            </w:r>
          </w:p>
        </w:tc>
      </w:tr>
      <w:tr w:rsidR="008B2E82" w:rsidRPr="008B2E82" w14:paraId="3DAC5774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76564BD6" w14:textId="545AE825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>PKZ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7A846AD" w14:textId="3E88AD0E" w:rsidR="008B2E82" w:rsidRPr="00413983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413983">
              <w:rPr>
                <w:rFonts w:ascii="Arial" w:hAnsi="Arial" w:cs="Arial"/>
                <w:sz w:val="20"/>
                <w:szCs w:val="20"/>
              </w:rPr>
              <w:t xml:space="preserve">Plán kontrol a zkoušek </w:t>
            </w:r>
          </w:p>
        </w:tc>
      </w:tr>
      <w:tr w:rsidR="008B2E82" w:rsidRPr="008B2E82" w14:paraId="3B15211F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7A3D99B" w14:textId="43E50F75" w:rsidR="008B2E82" w:rsidRPr="005728F9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728F9">
              <w:rPr>
                <w:rFonts w:ascii="Arial" w:hAnsi="Arial" w:cs="Arial"/>
                <w:sz w:val="20"/>
                <w:szCs w:val="20"/>
              </w:rPr>
              <w:t>POV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3DFC855" w14:textId="458EE394" w:rsidR="008B2E82" w:rsidRPr="005728F9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728F9">
              <w:rPr>
                <w:rFonts w:ascii="Arial" w:hAnsi="Arial" w:cs="Arial"/>
                <w:sz w:val="20"/>
                <w:szCs w:val="20"/>
              </w:rPr>
              <w:t>Plán a organizace výstavby</w:t>
            </w:r>
          </w:p>
        </w:tc>
      </w:tr>
      <w:tr w:rsidR="008B2E82" w:rsidRPr="008B2E82" w14:paraId="517F751A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34A47D9A" w14:textId="34FE7F22" w:rsidR="008B2E82" w:rsidRPr="005728F9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728F9">
              <w:rPr>
                <w:rFonts w:ascii="Arial" w:hAnsi="Arial" w:cs="Arial"/>
                <w:sz w:val="20"/>
                <w:szCs w:val="20"/>
              </w:rPr>
              <w:t>PRE-BEP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25734088" w14:textId="0727E71F" w:rsidR="008B2E82" w:rsidRPr="005728F9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728F9">
              <w:rPr>
                <w:rFonts w:ascii="Arial" w:hAnsi="Arial" w:cs="Arial"/>
                <w:sz w:val="20"/>
                <w:szCs w:val="20"/>
              </w:rPr>
              <w:t>Návrhový plán realizace BIM</w:t>
            </w:r>
          </w:p>
        </w:tc>
      </w:tr>
      <w:tr w:rsidR="008B2E82" w:rsidRPr="008B2E82" w14:paraId="006F2B35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1BC3C2A" w14:textId="6C4C8DB7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PS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D5CE94E" w14:textId="4FE5A6A8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Provozní soubor</w:t>
            </w:r>
          </w:p>
        </w:tc>
      </w:tr>
      <w:tr w:rsidR="008B2E82" w:rsidRPr="008B2E82" w14:paraId="047EC033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3D949E0" w14:textId="38375A91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 xml:space="preserve">SCR 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1F3E402" w14:textId="3E9A36DB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 xml:space="preserve">Selektivní katalytická redukce </w:t>
            </w:r>
          </w:p>
        </w:tc>
      </w:tr>
      <w:tr w:rsidR="008B2E82" w:rsidRPr="008B2E82" w14:paraId="6C2676CC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DA02319" w14:textId="3D3742A8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SHP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36F33E3" w14:textId="0C04EB5F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Směs hořlavého prachu</w:t>
            </w:r>
          </w:p>
        </w:tc>
      </w:tr>
      <w:tr w:rsidR="008B2E82" w:rsidRPr="008B2E82" w14:paraId="12A04229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AA864DA" w14:textId="33C641CD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SHZ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931B2AC" w14:textId="57D72858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Stabilní hasící zařízení</w:t>
            </w:r>
          </w:p>
        </w:tc>
      </w:tr>
      <w:tr w:rsidR="008B2E82" w:rsidRPr="008B2E82" w14:paraId="2C4A611F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916D1EC" w14:textId="74338DC2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SIL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B8018F5" w14:textId="78D24ADA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C35">
              <w:rPr>
                <w:rFonts w:ascii="Arial" w:hAnsi="Arial" w:cs="Arial"/>
                <w:sz w:val="20"/>
                <w:szCs w:val="20"/>
              </w:rPr>
              <w:t>Safety</w:t>
            </w:r>
            <w:proofErr w:type="spellEnd"/>
            <w:r w:rsidRPr="005F5C35">
              <w:rPr>
                <w:rFonts w:ascii="Arial" w:hAnsi="Arial" w:cs="Arial"/>
                <w:sz w:val="20"/>
                <w:szCs w:val="20"/>
              </w:rPr>
              <w:t xml:space="preserve"> Integrity Level</w:t>
            </w:r>
          </w:p>
        </w:tc>
      </w:tr>
      <w:tr w:rsidR="008B2E82" w:rsidRPr="008B2E82" w14:paraId="016D5369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3C7CAE51" w14:textId="368E854E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SKŘ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6381AEA" w14:textId="149CE1C6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Systém kontroly a řízení</w:t>
            </w:r>
          </w:p>
        </w:tc>
      </w:tr>
      <w:tr w:rsidR="008B2E82" w:rsidRPr="008B2E82" w14:paraId="612525C1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A2592CC" w14:textId="618E13A3" w:rsidR="008B2E82" w:rsidRPr="005F5C35" w:rsidRDefault="008B2E82">
            <w:pPr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SNCR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E7D8A07" w14:textId="22944296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Selektivní nekatalytická redukce</w:t>
            </w:r>
          </w:p>
        </w:tc>
      </w:tr>
      <w:tr w:rsidR="008B2E82" w:rsidRPr="008B2E82" w14:paraId="265A2EE4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92636A7" w14:textId="2CCB3D53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SNIM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A0B80D4" w14:textId="0BFC61E9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Standard negrafických informací 3D modelu</w:t>
            </w:r>
          </w:p>
        </w:tc>
      </w:tr>
      <w:tr w:rsidR="008B2E82" w:rsidRPr="008B2E82" w14:paraId="609D6329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CC5ADA1" w14:textId="6C44E96E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SO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6A2DA4B" w14:textId="2ABC0D3C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Stavební objekt</w:t>
            </w:r>
          </w:p>
        </w:tc>
      </w:tr>
      <w:tr w:rsidR="008B2E82" w:rsidRPr="008B2E82" w14:paraId="497E497C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10F1F5BD" w14:textId="45E0C5E7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5F5C35">
              <w:rPr>
                <w:rFonts w:ascii="Arial" w:hAnsi="Arial" w:cs="Arial"/>
                <w:sz w:val="20"/>
                <w:szCs w:val="20"/>
              </w:rPr>
              <w:t>SoD</w:t>
            </w:r>
            <w:proofErr w:type="spellEnd"/>
          </w:p>
        </w:tc>
        <w:tc>
          <w:tcPr>
            <w:tcW w:w="7316" w:type="dxa"/>
            <w:shd w:val="clear" w:color="auto" w:fill="auto"/>
            <w:vAlign w:val="bottom"/>
          </w:tcPr>
          <w:p w14:paraId="2D6CFEF8" w14:textId="2BDC11D4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Smlouva o Dílo</w:t>
            </w:r>
          </w:p>
        </w:tc>
      </w:tr>
      <w:tr w:rsidR="008B2E82" w:rsidRPr="008B2E82" w14:paraId="7F9A840C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CD5E847" w14:textId="29C84D8A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SP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53C9130" w14:textId="4641A2A1" w:rsidR="008B2E82" w:rsidRPr="005F5C35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F5C35">
              <w:rPr>
                <w:rFonts w:ascii="Arial" w:hAnsi="Arial" w:cs="Arial"/>
                <w:sz w:val="20"/>
                <w:szCs w:val="20"/>
              </w:rPr>
              <w:t>Stavební povolení</w:t>
            </w:r>
          </w:p>
        </w:tc>
      </w:tr>
      <w:tr w:rsidR="008B2E82" w:rsidRPr="008B2E82" w14:paraId="6FEBCF87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5C8C79A" w14:textId="4957DE6C" w:rsidR="008B2E82" w:rsidRPr="0008736B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8736B">
              <w:rPr>
                <w:rFonts w:ascii="Arial" w:hAnsi="Arial" w:cs="Arial"/>
                <w:sz w:val="20"/>
                <w:szCs w:val="20"/>
              </w:rPr>
              <w:t>SŘJ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629E59E7" w14:textId="16C400B6" w:rsidR="008B2E82" w:rsidRPr="0008736B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8736B">
              <w:rPr>
                <w:rFonts w:ascii="Arial" w:hAnsi="Arial" w:cs="Arial"/>
                <w:sz w:val="20"/>
                <w:szCs w:val="20"/>
              </w:rPr>
              <w:t>Systém řízení jakosti</w:t>
            </w:r>
          </w:p>
        </w:tc>
      </w:tr>
      <w:tr w:rsidR="008B2E82" w:rsidRPr="008B2E82" w14:paraId="13B042C4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44855B5D" w14:textId="1C318B2B" w:rsidR="008B2E82" w:rsidRPr="0008736B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8736B">
              <w:rPr>
                <w:rFonts w:ascii="Arial" w:hAnsi="Arial" w:cs="Arial"/>
                <w:sz w:val="20"/>
                <w:szCs w:val="20"/>
              </w:rPr>
              <w:t>SW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B0ED939" w14:textId="7183139D" w:rsidR="008B2E82" w:rsidRPr="0008736B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8736B">
              <w:rPr>
                <w:rFonts w:ascii="Arial" w:hAnsi="Arial" w:cs="Arial"/>
                <w:sz w:val="20"/>
                <w:szCs w:val="20"/>
              </w:rPr>
              <w:t>Software</w:t>
            </w:r>
          </w:p>
        </w:tc>
      </w:tr>
      <w:tr w:rsidR="008B2E82" w:rsidRPr="008B2E82" w14:paraId="79A24446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BFE119F" w14:textId="11A4DA39" w:rsidR="008B2E82" w:rsidRPr="0008736B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8736B">
              <w:rPr>
                <w:rFonts w:ascii="Arial" w:hAnsi="Arial" w:cs="Arial"/>
                <w:sz w:val="20"/>
                <w:szCs w:val="20"/>
              </w:rPr>
              <w:t>ŘS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CF6F85A" w14:textId="65B08247" w:rsidR="008B2E82" w:rsidRPr="0008736B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8736B">
              <w:rPr>
                <w:rFonts w:ascii="Arial" w:hAnsi="Arial" w:cs="Arial"/>
                <w:sz w:val="20"/>
                <w:szCs w:val="20"/>
              </w:rPr>
              <w:t>Řídící systém</w:t>
            </w:r>
          </w:p>
        </w:tc>
      </w:tr>
      <w:tr w:rsidR="008B2E82" w:rsidRPr="008B2E82" w14:paraId="5F8479A8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1221861" w14:textId="3647A1C4" w:rsidR="008B2E82" w:rsidRPr="0055392C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55392C">
              <w:rPr>
                <w:rFonts w:ascii="Arial" w:hAnsi="Arial" w:cs="Arial"/>
                <w:sz w:val="20"/>
                <w:szCs w:val="20"/>
              </w:rPr>
              <w:t>TZL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740E3141" w14:textId="0B0725FB" w:rsidR="008B2E82" w:rsidRPr="0008736B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8736B">
              <w:rPr>
                <w:rFonts w:ascii="Arial" w:hAnsi="Arial" w:cs="Arial"/>
                <w:sz w:val="20"/>
                <w:szCs w:val="20"/>
              </w:rPr>
              <w:t xml:space="preserve">Tuhé znečišťující látky </w:t>
            </w:r>
          </w:p>
        </w:tc>
      </w:tr>
      <w:tr w:rsidR="008B2E82" w:rsidRPr="008B2E82" w14:paraId="5FC34F2E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783C035C" w14:textId="06320F52" w:rsidR="008B2E82" w:rsidRPr="0008736B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8736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ÚSES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159DEC1" w14:textId="18138EAE" w:rsidR="008B2E82" w:rsidRPr="0008736B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8736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územní systém ekologické stability krajiny </w:t>
            </w:r>
          </w:p>
        </w:tc>
      </w:tr>
      <w:tr w:rsidR="008B2E82" w:rsidRPr="008B2E82" w14:paraId="58F8A981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62C172F9" w14:textId="6FE65C7E" w:rsidR="008B2E82" w:rsidRPr="0008736B" w:rsidRDefault="008B2E82">
            <w:pPr>
              <w:rPr>
                <w:rFonts w:ascii="Arial" w:hAnsi="Arial" w:cs="Arial"/>
                <w:sz w:val="20"/>
                <w:szCs w:val="20"/>
                <w:u w:val="single"/>
              </w:rPr>
            </w:pPr>
            <w:r w:rsidRPr="0008736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VN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32649D70" w14:textId="30688761" w:rsidR="008B2E82" w:rsidRPr="0008736B" w:rsidRDefault="008B2E82">
            <w:pPr>
              <w:rPr>
                <w:rFonts w:ascii="Arial" w:hAnsi="Arial" w:cs="Arial"/>
                <w:sz w:val="20"/>
                <w:szCs w:val="20"/>
              </w:rPr>
            </w:pPr>
            <w:r w:rsidRPr="0008736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Vysokonapěťový </w:t>
            </w:r>
          </w:p>
        </w:tc>
      </w:tr>
      <w:tr w:rsidR="008B2E82" w:rsidRPr="008B2E82" w14:paraId="344297C3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68B8F35" w14:textId="722C7B0F" w:rsidR="008B2E82" w:rsidRPr="0008736B" w:rsidRDefault="008B2E82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08736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VOC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4301B9D2" w14:textId="7DA6A6CC" w:rsidR="008B2E82" w:rsidRPr="0008736B" w:rsidRDefault="008B2E82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proofErr w:type="spellStart"/>
            <w:r w:rsidRPr="0008736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Volatile</w:t>
            </w:r>
            <w:proofErr w:type="spellEnd"/>
            <w:r w:rsidRPr="0008736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736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organic</w:t>
            </w:r>
            <w:proofErr w:type="spellEnd"/>
            <w:r w:rsidRPr="0008736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</w:t>
            </w:r>
            <w:proofErr w:type="spellStart"/>
            <w:r w:rsidRPr="0008736B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compound</w:t>
            </w:r>
            <w:proofErr w:type="spellEnd"/>
          </w:p>
        </w:tc>
      </w:tr>
      <w:tr w:rsidR="008B2E82" w:rsidRPr="008B2E82" w14:paraId="1D6C3456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79C4F1F2" w14:textId="28AC8971" w:rsidR="008B2E82" w:rsidRPr="0056005C" w:rsidRDefault="008B2E82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6005C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VZT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382D684" w14:textId="6083EF77" w:rsidR="008B2E82" w:rsidRPr="0056005C" w:rsidRDefault="008B2E82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6005C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Vzduchotechnika </w:t>
            </w:r>
          </w:p>
        </w:tc>
      </w:tr>
      <w:tr w:rsidR="008B2E82" w:rsidRPr="008B2E82" w14:paraId="138CFCF7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5B208B6D" w14:textId="34AD1740" w:rsidR="008B2E82" w:rsidRPr="0056005C" w:rsidRDefault="008B2E82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6005C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VT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0A91B9AE" w14:textId="1CD16E31" w:rsidR="008B2E82" w:rsidRPr="0056005C" w:rsidRDefault="008B2E82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6005C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Vysokotlaký </w:t>
            </w:r>
          </w:p>
        </w:tc>
      </w:tr>
      <w:tr w:rsidR="008B2E82" w:rsidRPr="008B2E82" w14:paraId="46B0F97C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22D13E6A" w14:textId="1FFBE4D2" w:rsidR="008B2E82" w:rsidRPr="0056005C" w:rsidRDefault="008B2E82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6005C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50542234" w14:textId="7B32CDE0" w:rsidR="008B2E82" w:rsidRPr="0056005C" w:rsidRDefault="008B2E82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</w:pPr>
            <w:r w:rsidRPr="0056005C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svědečný/ověřovací bod (</w:t>
            </w:r>
            <w:proofErr w:type="spellStart"/>
            <w:r w:rsidRPr="0056005C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Witness</w:t>
            </w:r>
            <w:proofErr w:type="spellEnd"/>
            <w:r w:rsidRPr="0056005C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 xml:space="preserve"> Point)</w:t>
            </w:r>
          </w:p>
        </w:tc>
      </w:tr>
      <w:tr w:rsidR="008B2E82" w:rsidRPr="008B2E82" w14:paraId="4FE75F0F" w14:textId="77777777" w:rsidTr="008901E1">
        <w:trPr>
          <w:trHeight w:val="270"/>
        </w:trPr>
        <w:tc>
          <w:tcPr>
            <w:tcW w:w="1130" w:type="dxa"/>
            <w:shd w:val="clear" w:color="auto" w:fill="auto"/>
            <w:vAlign w:val="bottom"/>
          </w:tcPr>
          <w:p w14:paraId="0E5FE6A9" w14:textId="73DAA28F" w:rsidR="008B2E82" w:rsidRPr="0056005C" w:rsidRDefault="008B2E82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r w:rsidRPr="0056005C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WF</w:t>
            </w:r>
          </w:p>
        </w:tc>
        <w:tc>
          <w:tcPr>
            <w:tcW w:w="7316" w:type="dxa"/>
            <w:shd w:val="clear" w:color="auto" w:fill="auto"/>
            <w:vAlign w:val="bottom"/>
          </w:tcPr>
          <w:p w14:paraId="1020A85B" w14:textId="56EF9B5D" w:rsidR="008B2E82" w:rsidRPr="0056005C" w:rsidRDefault="008B2E82">
            <w:pPr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  <w:highlight w:val="yellow"/>
              </w:rPr>
            </w:pPr>
            <w:proofErr w:type="spellStart"/>
            <w:r w:rsidRPr="0056005C">
              <w:rPr>
                <w:rStyle w:val="PromnnHTML"/>
                <w:rFonts w:ascii="Arial" w:hAnsi="Arial" w:cs="Arial"/>
                <w:i w:val="0"/>
                <w:iCs w:val="0"/>
                <w:color w:val="000000"/>
                <w:sz w:val="20"/>
                <w:szCs w:val="20"/>
              </w:rPr>
              <w:t>Workflow</w:t>
            </w:r>
            <w:proofErr w:type="spellEnd"/>
          </w:p>
        </w:tc>
      </w:tr>
    </w:tbl>
    <w:p w14:paraId="562D3FDA" w14:textId="34BA97E7" w:rsidR="00F63FCE" w:rsidRPr="006378A0" w:rsidRDefault="00CE56D8" w:rsidP="00D65FAF">
      <w:pPr>
        <w:pStyle w:val="TCBNadpis2"/>
      </w:pPr>
      <w:bookmarkStart w:id="2" w:name="_Toc142307521"/>
      <w:r w:rsidRPr="00DA30E4">
        <w:lastRenderedPageBreak/>
        <w:t xml:space="preserve">Základní </w:t>
      </w:r>
      <w:r w:rsidR="0066385C" w:rsidRPr="00DA30E4">
        <w:t>požadované technické</w:t>
      </w:r>
      <w:r w:rsidRPr="00DA30E4">
        <w:t xml:space="preserve"> a funkční charakteristiky </w:t>
      </w:r>
      <w:r w:rsidR="00295244" w:rsidRPr="00DA30E4">
        <w:t>DÍLA</w:t>
      </w:r>
      <w:bookmarkStart w:id="3" w:name="_Toc116112012"/>
      <w:bookmarkStart w:id="4" w:name="_Toc116278734"/>
      <w:bookmarkStart w:id="5" w:name="_Toc116790588"/>
      <w:bookmarkStart w:id="6" w:name="_Toc116958279"/>
      <w:bookmarkStart w:id="7" w:name="_Toc141683002"/>
      <w:bookmarkEnd w:id="2"/>
    </w:p>
    <w:p w14:paraId="44D26482" w14:textId="5B1D8708" w:rsidR="00B07CE2" w:rsidRPr="008C1809" w:rsidRDefault="00F63FCE" w:rsidP="00D65FAF">
      <w:pPr>
        <w:pStyle w:val="TCBNadpis3"/>
        <w:rPr>
          <w:bCs/>
        </w:rPr>
      </w:pPr>
      <w:bookmarkStart w:id="8" w:name="_Toc142307522"/>
      <w:r>
        <w:t>Obecné požadavky</w:t>
      </w:r>
      <w:bookmarkEnd w:id="8"/>
      <w:r>
        <w:t xml:space="preserve"> </w:t>
      </w:r>
    </w:p>
    <w:p w14:paraId="34AAB06D" w14:textId="326E196E" w:rsidR="00F63FCE" w:rsidRPr="00B07CE2" w:rsidRDefault="00F63FCE" w:rsidP="00B07CE2">
      <w:pPr>
        <w:pStyle w:val="TCBNormalni"/>
        <w:rPr>
          <w:b/>
          <w:bCs/>
        </w:rPr>
      </w:pPr>
      <w:r w:rsidRPr="00B07CE2">
        <w:rPr>
          <w:b/>
          <w:bCs/>
        </w:rPr>
        <w:t xml:space="preserve">Osvědčené zařízení </w:t>
      </w:r>
    </w:p>
    <w:p w14:paraId="133F1267" w14:textId="77777777" w:rsidR="00F63FCE" w:rsidRDefault="00F63FCE" w:rsidP="00B07CE2">
      <w:pPr>
        <w:pStyle w:val="TCBNormalni"/>
      </w:pPr>
      <w:r>
        <w:t>Nabízená zařízení musí být moderní osvědčené konstrukce, jejichž provozní spolehlivost byla ověřena minimálně ve zkušebním provozu při vysokých účinnostech. Své vyjádření v tomto ohledu podá Zhotovitel spolu s ostatními referencemi.</w:t>
      </w:r>
    </w:p>
    <w:p w14:paraId="75B1B3DC" w14:textId="77777777" w:rsidR="00F63FCE" w:rsidRPr="00B07CE2" w:rsidRDefault="00F63FCE" w:rsidP="00B07CE2">
      <w:pPr>
        <w:pStyle w:val="TCBNormalni"/>
        <w:rPr>
          <w:b/>
          <w:bCs/>
        </w:rPr>
      </w:pPr>
      <w:r w:rsidRPr="00B07CE2">
        <w:rPr>
          <w:b/>
          <w:bCs/>
        </w:rPr>
        <w:t>Nízké provozní náklady</w:t>
      </w:r>
    </w:p>
    <w:p w14:paraId="3D4DF2D6" w14:textId="16D23725" w:rsidR="00F63FCE" w:rsidRDefault="00F63FCE" w:rsidP="00B07CE2">
      <w:pPr>
        <w:pStyle w:val="TCBNormalni"/>
      </w:pPr>
      <w:r>
        <w:t>Zařízení musí vykazovat nízké spotřeby energií, vody a pomocných hmot, při splnění všech kvalitativních parametrů. Proto strojní zařízení musí být moderní vysoce účinné konstrukce a typ a</w:t>
      </w:r>
      <w:r w:rsidR="00E638E8">
        <w:t> </w:t>
      </w:r>
      <w:r>
        <w:t xml:space="preserve">velikost strojů musí být vybrána tak, aby žádaný provozní rozsah byl v souladu s optimální účinností. </w:t>
      </w:r>
    </w:p>
    <w:p w14:paraId="7269D594" w14:textId="77777777" w:rsidR="00F63FCE" w:rsidRPr="00B07CE2" w:rsidRDefault="00F63FCE" w:rsidP="00B07CE2">
      <w:pPr>
        <w:pStyle w:val="TCBNormalni"/>
        <w:rPr>
          <w:b/>
          <w:bCs/>
        </w:rPr>
      </w:pPr>
      <w:r w:rsidRPr="00B07CE2">
        <w:rPr>
          <w:b/>
          <w:bCs/>
        </w:rPr>
        <w:t>Nízké investiční náklady a náklady na údržbu</w:t>
      </w:r>
    </w:p>
    <w:p w14:paraId="613386CD" w14:textId="1DFDE009" w:rsidR="00F63FCE" w:rsidRDefault="00F63FCE" w:rsidP="00B07CE2">
      <w:pPr>
        <w:pStyle w:val="TCBNormalni"/>
      </w:pPr>
      <w:r>
        <w:t xml:space="preserve">Investiční náklady a náklady na údržbu musí být co nejnižší, (racionální a dosažitelné). za předpokladu, že konečný záměr a ekologický efekt nebude ovlivněn. Tyto obecné požadavky se musí odrazit v technologii, konstrukci a standardizaci zařízení, </w:t>
      </w:r>
      <w:proofErr w:type="spellStart"/>
      <w:r>
        <w:t>generelním</w:t>
      </w:r>
      <w:proofErr w:type="spellEnd"/>
      <w:r>
        <w:t xml:space="preserve"> a detailním uspořádání, minimalizaci stavebních prací, krátkém a jednoduchém potrubním a kabelovém propojení, snadném přístupu k zařízení pro obsluhu a údržbu, vysoké automatizaci atd.</w:t>
      </w:r>
    </w:p>
    <w:p w14:paraId="6EB3F86F" w14:textId="2B5B56A6" w:rsidR="0031697D" w:rsidRPr="006378A0" w:rsidRDefault="0031697D" w:rsidP="0031697D">
      <w:pPr>
        <w:pStyle w:val="TCBNormalni"/>
        <w:rPr>
          <w:b/>
          <w:bCs/>
        </w:rPr>
      </w:pPr>
      <w:r w:rsidRPr="006378A0">
        <w:rPr>
          <w:b/>
          <w:bCs/>
        </w:rPr>
        <w:t xml:space="preserve">Úpravy stávajícího zařízení </w:t>
      </w:r>
    </w:p>
    <w:p w14:paraId="2F88883F" w14:textId="14FCC08C" w:rsidR="0031697D" w:rsidRDefault="0031697D" w:rsidP="00B07CE2">
      <w:pPr>
        <w:pStyle w:val="TCBNormalni"/>
      </w:pPr>
      <w:r w:rsidRPr="0031697D">
        <w:t>Z hlediska minimalizace investičních nákladů a časové úspory OBJEDNATEL preferuje využití stávajících komponent všude tam, kde je to technicky možné</w:t>
      </w:r>
      <w:r w:rsidR="006378A0">
        <w:t>,</w:t>
      </w:r>
      <w:r w:rsidRPr="0031697D">
        <w:t xml:space="preserve"> avšak v</w:t>
      </w:r>
      <w:r w:rsidR="006378A0">
        <w:t> </w:t>
      </w:r>
      <w:r w:rsidRPr="0031697D">
        <w:t>souladu</w:t>
      </w:r>
      <w:r w:rsidR="006378A0">
        <w:t xml:space="preserve"> </w:t>
      </w:r>
      <w:r w:rsidRPr="0031697D">
        <w:t>s</w:t>
      </w:r>
      <w:r w:rsidR="006378A0">
        <w:t> </w:t>
      </w:r>
      <w:r w:rsidRPr="0031697D">
        <w:t>koncep</w:t>
      </w:r>
      <w:r>
        <w:t>tem</w:t>
      </w:r>
      <w:r w:rsidR="006378A0">
        <w:t xml:space="preserve"> </w:t>
      </w:r>
      <w:r w:rsidRPr="0031697D">
        <w:t xml:space="preserve">předpokládané minimální životnosti a spolehlivosti nevyměněných komponent a jejich vhodnosti pro budoucí provoz. </w:t>
      </w:r>
    </w:p>
    <w:p w14:paraId="10C74004" w14:textId="77777777" w:rsidR="00F63FCE" w:rsidRPr="00A93F41" w:rsidRDefault="00F63FCE" w:rsidP="00B07CE2">
      <w:pPr>
        <w:pStyle w:val="TCBNormalni"/>
        <w:rPr>
          <w:b/>
          <w:bCs/>
        </w:rPr>
      </w:pPr>
      <w:r w:rsidRPr="00A93F41">
        <w:rPr>
          <w:b/>
          <w:bCs/>
        </w:rPr>
        <w:t>Bezpečnost provozu</w:t>
      </w:r>
    </w:p>
    <w:p w14:paraId="46EF8F40" w14:textId="2C8BD599" w:rsidR="00F63FCE" w:rsidRDefault="00F63FCE" w:rsidP="00B07CE2">
      <w:pPr>
        <w:pStyle w:val="TCBNormalni"/>
      </w:pPr>
      <w:r>
        <w:t xml:space="preserve">Musí se vyloučit všechna rizika vznikající z provozu. Provoz musí být bezpečný a musí se provést všechna nutná opatření, aby se předešlo jakémukoliv nebezpečí pro personál, zařízení a okolí během najíždění, normálního provozu, plánovaných odstávek, nouzového odstavení </w:t>
      </w:r>
      <w:r w:rsidR="00565FFE">
        <w:t>a výpadků</w:t>
      </w:r>
      <w:r>
        <w:t>.</w:t>
      </w:r>
    </w:p>
    <w:p w14:paraId="6F57741F" w14:textId="199A35E0" w:rsidR="00F63FCE" w:rsidRDefault="00F63FCE" w:rsidP="00B07CE2">
      <w:pPr>
        <w:pStyle w:val="TCBNormalni"/>
      </w:pPr>
      <w:r>
        <w:t>Na zařízení, kde by chybná funkce mohla vyústit v havárii, musí být instalovány bezpečnostní a</w:t>
      </w:r>
      <w:r w:rsidR="00E638E8">
        <w:t> </w:t>
      </w:r>
      <w:r>
        <w:t>signalizační odstavné systémy (automatizované). Systémy musí být „</w:t>
      </w:r>
      <w:proofErr w:type="spellStart"/>
      <w:r>
        <w:t>fail</w:t>
      </w:r>
      <w:proofErr w:type="spellEnd"/>
      <w:r>
        <w:t> </w:t>
      </w:r>
      <w:proofErr w:type="spellStart"/>
      <w:r>
        <w:t>safe</w:t>
      </w:r>
      <w:proofErr w:type="spellEnd"/>
      <w:r>
        <w:t>“ to je</w:t>
      </w:r>
      <w:r w:rsidR="006D3B6F">
        <w:t>st</w:t>
      </w:r>
      <w:r>
        <w:t xml:space="preserve"> musí být schopné </w:t>
      </w:r>
      <w:r w:rsidR="00565FFE">
        <w:t>správné činnost</w:t>
      </w:r>
      <w:r>
        <w:t xml:space="preserve"> při ztrátě elektrické energie nebo tlaku regulačního vzduchu. </w:t>
      </w:r>
    </w:p>
    <w:p w14:paraId="408E94B7" w14:textId="7F03A438" w:rsidR="00A93F41" w:rsidRDefault="00F63FCE" w:rsidP="00B07CE2">
      <w:pPr>
        <w:pStyle w:val="TCBNormalni"/>
      </w:pPr>
      <w:r>
        <w:t>Pohyblivá zařízení musí být usazena na základových konstrukcích tak, aby se nepřenášelo chvění při provozu zařízení na základové konstrukce.</w:t>
      </w:r>
    </w:p>
    <w:p w14:paraId="155CA28A" w14:textId="24FAB215" w:rsidR="00F63FCE" w:rsidRDefault="00F63FCE" w:rsidP="00B07CE2">
      <w:pPr>
        <w:pStyle w:val="TCBNormalni"/>
      </w:pPr>
      <w:r>
        <w:t>Odvětrávací systémy musí řešit bezpečné odvedení uvolněných plynů nebo par.</w:t>
      </w:r>
    </w:p>
    <w:p w14:paraId="1DD43372" w14:textId="1DDA18F1" w:rsidR="00F63FCE" w:rsidRDefault="00F63FCE" w:rsidP="00B07CE2">
      <w:pPr>
        <w:pStyle w:val="TCBNormalni"/>
      </w:pPr>
      <w:r>
        <w:t xml:space="preserve">Musí se instalovat vypouštěcí </w:t>
      </w:r>
      <w:r w:rsidR="00583A3F">
        <w:t>systémy,</w:t>
      </w:r>
      <w:r>
        <w:t xml:space="preserve"> a to spádové i uzavřené (tlakové), pro sběr a vracení k opětovnému využití všech vypouštěných kapalin, které by mohly obsahovat nebezpečné nebo škodlivé látky a pro zabránění jejich vypouštění do okolí. To se vztahuje na trvalá i občasná vypouštění. </w:t>
      </w:r>
    </w:p>
    <w:p w14:paraId="4F4CA061" w14:textId="77777777" w:rsidR="00A93F41" w:rsidRDefault="00A93F41" w:rsidP="00B07CE2">
      <w:pPr>
        <w:pStyle w:val="TCBNormalni"/>
      </w:pPr>
    </w:p>
    <w:p w14:paraId="70C64F70" w14:textId="38EBF617" w:rsidR="00F63FCE" w:rsidRPr="00A93F41" w:rsidRDefault="00F63FCE" w:rsidP="00B07CE2">
      <w:pPr>
        <w:pStyle w:val="TCBNormalni"/>
        <w:rPr>
          <w:b/>
          <w:bCs/>
        </w:rPr>
      </w:pPr>
      <w:r w:rsidRPr="00A93F41">
        <w:rPr>
          <w:b/>
          <w:bCs/>
        </w:rPr>
        <w:t>Uspořádání zařízení (vnitřní nebo venkovní řešení)</w:t>
      </w:r>
    </w:p>
    <w:p w14:paraId="02E27048" w14:textId="69BE9357" w:rsidR="00F63FCE" w:rsidRDefault="00A93F41" w:rsidP="00B07CE2">
      <w:pPr>
        <w:pStyle w:val="TCBNormalni"/>
      </w:pPr>
      <w:r>
        <w:t xml:space="preserve">ZHOTOVITEL </w:t>
      </w:r>
      <w:r w:rsidR="00F63FCE">
        <w:t>navrhne pro jednotlivé části zařízení a objektů takové řešení, které bude optimální z hlediska:</w:t>
      </w:r>
      <w:r w:rsidR="00F63FCE">
        <w:tab/>
      </w:r>
    </w:p>
    <w:p w14:paraId="43FA1F8C" w14:textId="69868336" w:rsidR="00F63FCE" w:rsidRDefault="00F63FCE" w:rsidP="00FA00D2">
      <w:pPr>
        <w:pStyle w:val="TCBNormalni"/>
        <w:numPr>
          <w:ilvl w:val="0"/>
          <w:numId w:val="10"/>
        </w:numPr>
      </w:pPr>
      <w:r>
        <w:t>klimatických podmínek</w:t>
      </w:r>
      <w:r w:rsidR="002C0945">
        <w:t>,</w:t>
      </w:r>
    </w:p>
    <w:p w14:paraId="6D9909D6" w14:textId="5ABD5057" w:rsidR="00F63FCE" w:rsidRDefault="00F63FCE" w:rsidP="00FA00D2">
      <w:pPr>
        <w:pStyle w:val="TCBNormalni"/>
        <w:numPr>
          <w:ilvl w:val="0"/>
          <w:numId w:val="10"/>
        </w:numPr>
      </w:pPr>
      <w:r>
        <w:t>technologického procesu</w:t>
      </w:r>
      <w:r w:rsidR="002C0945">
        <w:t>,</w:t>
      </w:r>
    </w:p>
    <w:p w14:paraId="231B4EA1" w14:textId="4A2100C3" w:rsidR="00F63FCE" w:rsidRDefault="00F63FCE" w:rsidP="00FA00D2">
      <w:pPr>
        <w:pStyle w:val="TCBNormalni"/>
        <w:numPr>
          <w:ilvl w:val="0"/>
          <w:numId w:val="10"/>
        </w:numPr>
      </w:pPr>
      <w:r>
        <w:t>obsluhy a údržby</w:t>
      </w:r>
      <w:r w:rsidR="002C0945">
        <w:t>,</w:t>
      </w:r>
    </w:p>
    <w:p w14:paraId="4E9B21A0" w14:textId="77777777" w:rsidR="0012261C" w:rsidRPr="0012261C" w:rsidRDefault="0012261C" w:rsidP="0012261C">
      <w:pPr>
        <w:pStyle w:val="TCBNormalni"/>
        <w:numPr>
          <w:ilvl w:val="0"/>
          <w:numId w:val="10"/>
        </w:numPr>
      </w:pPr>
      <w:r w:rsidRPr="0012261C">
        <w:t>investičních a provozních nákladů,</w:t>
      </w:r>
    </w:p>
    <w:p w14:paraId="38ACEBE0" w14:textId="2557DF72" w:rsidR="0012261C" w:rsidRDefault="0012261C" w:rsidP="006378A0">
      <w:pPr>
        <w:pStyle w:val="TCBNormalni"/>
        <w:numPr>
          <w:ilvl w:val="0"/>
          <w:numId w:val="10"/>
        </w:numPr>
      </w:pPr>
      <w:r w:rsidRPr="0012261C">
        <w:lastRenderedPageBreak/>
        <w:t>spolehlivosti a bezpečnosti.</w:t>
      </w:r>
    </w:p>
    <w:p w14:paraId="422820D8" w14:textId="50D7F94A" w:rsidR="00F63FCE" w:rsidRPr="00B07CE2" w:rsidRDefault="00B07CE2" w:rsidP="00D65FAF">
      <w:pPr>
        <w:pStyle w:val="TCBNadpis3"/>
      </w:pPr>
      <w:bookmarkStart w:id="9" w:name="_Toc142307523"/>
      <w:r>
        <w:t>P</w:t>
      </w:r>
      <w:r w:rsidRPr="00B07CE2">
        <w:t>ožadavky BAT a legislativy</w:t>
      </w:r>
      <w:bookmarkEnd w:id="9"/>
      <w:r w:rsidRPr="00B07CE2">
        <w:t xml:space="preserve"> </w:t>
      </w:r>
    </w:p>
    <w:p w14:paraId="7EF9D636" w14:textId="46242CCE" w:rsidR="00B07CE2" w:rsidRDefault="00B07CE2" w:rsidP="00B07CE2">
      <w:pPr>
        <w:pStyle w:val="TCBNormalni"/>
      </w:pPr>
      <w:r w:rsidRPr="0061736F">
        <w:t>Dodané DÍLO</w:t>
      </w:r>
      <w:r w:rsidR="00BD3CB6">
        <w:t xml:space="preserve"> musí splňovat</w:t>
      </w:r>
      <w:r w:rsidR="00565FFE" w:rsidRPr="0061736F">
        <w:t xml:space="preserve"> </w:t>
      </w:r>
      <w:r w:rsidR="00565FFE">
        <w:t>legislativní</w:t>
      </w:r>
      <w:r w:rsidR="00F517B6" w:rsidRPr="0061736F">
        <w:t xml:space="preserve"> </w:t>
      </w:r>
      <w:r w:rsidRPr="0061736F">
        <w:t>předpisy a normy platné v České republice</w:t>
      </w:r>
      <w:r w:rsidR="00F517B6" w:rsidRPr="0061736F">
        <w:t xml:space="preserve"> a</w:t>
      </w:r>
      <w:r w:rsidR="00BD3CB6">
        <w:t xml:space="preserve"> zároveň </w:t>
      </w:r>
      <w:r w:rsidR="00F517B6" w:rsidRPr="0061736F">
        <w:t xml:space="preserve">musí splňovat požadavky </w:t>
      </w:r>
      <w:r w:rsidR="00565FFE" w:rsidRPr="0061736F">
        <w:t>BAT.</w:t>
      </w:r>
      <w:r w:rsidRPr="0061736F">
        <w:t xml:space="preserve"> Dále musí </w:t>
      </w:r>
      <w:r w:rsidR="00565FFE" w:rsidRPr="0061736F">
        <w:t>ZHOTOVITEL dodržovat</w:t>
      </w:r>
      <w:r w:rsidRPr="0061736F">
        <w:t xml:space="preserve"> veškerá zákonná ustanovení a další úřední předpisy České</w:t>
      </w:r>
      <w:r>
        <w:t xml:space="preserve"> republiky</w:t>
      </w:r>
      <w:r w:rsidR="00565FFE">
        <w:t xml:space="preserve"> </w:t>
      </w:r>
      <w:r>
        <w:t xml:space="preserve">a technologické a zdravotní normy, včetně předpisů o životním prostředí, předpisů týkajících se odpadů atd. </w:t>
      </w:r>
    </w:p>
    <w:p w14:paraId="4F7D861B" w14:textId="697DB6A0" w:rsidR="00B07CE2" w:rsidRDefault="00565FFE" w:rsidP="00B07CE2">
      <w:pPr>
        <w:pStyle w:val="TCBNormalni"/>
        <w:rPr>
          <w:highlight w:val="yellow"/>
        </w:rPr>
      </w:pPr>
      <w:r>
        <w:t>ZHOTOVITEL je</w:t>
      </w:r>
      <w:r w:rsidR="00B07CE2">
        <w:t xml:space="preserve"> povinen dodržovat ustanovení příslušného vydaného STAVEBNÍHO POVOLENÍ i</w:t>
      </w:r>
      <w:r w:rsidR="00E638E8">
        <w:t> </w:t>
      </w:r>
      <w:r w:rsidR="00B07CE2">
        <w:t>veškeré příslušné právní předpisy České republiky s tím spojené.</w:t>
      </w:r>
    </w:p>
    <w:p w14:paraId="2AFD6096" w14:textId="4EA7F8D6" w:rsidR="00B07CE2" w:rsidRPr="006378A0" w:rsidRDefault="00B07CE2" w:rsidP="00D65FAF">
      <w:pPr>
        <w:pStyle w:val="TCBNadpis3"/>
      </w:pPr>
      <w:bookmarkStart w:id="10" w:name="_Toc142307524"/>
      <w:r w:rsidRPr="000B3090">
        <w:t>Jazyk</w:t>
      </w:r>
      <w:bookmarkEnd w:id="10"/>
      <w:r w:rsidRPr="000B3090">
        <w:t xml:space="preserve"> </w:t>
      </w:r>
    </w:p>
    <w:p w14:paraId="5DA53D8E" w14:textId="164950BE" w:rsidR="00B07CE2" w:rsidRDefault="00B07CE2" w:rsidP="00267462">
      <w:pPr>
        <w:pStyle w:val="TCBNormalni"/>
      </w:pPr>
      <w:r>
        <w:t>Ofici</w:t>
      </w:r>
      <w:r w:rsidR="00B76313">
        <w:t>á</w:t>
      </w:r>
      <w:r>
        <w:t>lním jazykem projektu je český jaz</w:t>
      </w:r>
      <w:r w:rsidR="00B76313">
        <w:t>y</w:t>
      </w:r>
      <w:r>
        <w:t xml:space="preserve">k. </w:t>
      </w:r>
      <w:r w:rsidR="00C77123">
        <w:t>Český jazyk b</w:t>
      </w:r>
      <w:r>
        <w:t xml:space="preserve">ude používán </w:t>
      </w:r>
      <w:r w:rsidRPr="00267462">
        <w:t>výhradně</w:t>
      </w:r>
      <w:r>
        <w:t xml:space="preserve"> v komunikac</w:t>
      </w:r>
      <w:r w:rsidR="00C77123">
        <w:t>i</w:t>
      </w:r>
      <w:r>
        <w:t xml:space="preserve"> během </w:t>
      </w:r>
      <w:r w:rsidR="00B76313">
        <w:t>výstavby</w:t>
      </w:r>
      <w:r w:rsidR="00C77123">
        <w:t>.</w:t>
      </w:r>
      <w:r w:rsidR="00B76313">
        <w:t xml:space="preserve"> Všechny projektové výstupy </w:t>
      </w:r>
      <w:r w:rsidR="00565FFE">
        <w:t>budou v</w:t>
      </w:r>
      <w:r w:rsidR="00B76313">
        <w:t xml:space="preserve"> českém jazyce. </w:t>
      </w:r>
    </w:p>
    <w:p w14:paraId="1C8BDC8E" w14:textId="2A99CA19" w:rsidR="00FD594F" w:rsidRPr="006B43EA" w:rsidRDefault="00B07CE2" w:rsidP="006B43EA">
      <w:pPr>
        <w:pStyle w:val="TCBNormalni"/>
      </w:pPr>
      <w:r w:rsidRPr="00B07CE2">
        <w:t>Štítky, obrazovk</w:t>
      </w:r>
      <w:r>
        <w:t>y</w:t>
      </w:r>
      <w:r w:rsidRPr="00B07CE2">
        <w:t xml:space="preserve"> obsluhy a popis</w:t>
      </w:r>
      <w:r>
        <w:t>y</w:t>
      </w:r>
      <w:r w:rsidRPr="00B07CE2">
        <w:t xml:space="preserve"> umístěného na zařízení, </w:t>
      </w:r>
      <w:r w:rsidR="00B76313">
        <w:t>značení stavebních objektů</w:t>
      </w:r>
      <w:r w:rsidRPr="00B07CE2">
        <w:t>, bezpečnostních znač</w:t>
      </w:r>
      <w:r w:rsidR="00B76313">
        <w:t>ky</w:t>
      </w:r>
      <w:r w:rsidRPr="00B07CE2">
        <w:t>, varování daných právními předpisy musí být v českém jazyce.</w:t>
      </w:r>
      <w:bookmarkEnd w:id="3"/>
      <w:bookmarkEnd w:id="4"/>
      <w:bookmarkEnd w:id="5"/>
      <w:bookmarkEnd w:id="6"/>
      <w:bookmarkEnd w:id="7"/>
    </w:p>
    <w:p w14:paraId="77E3DC99" w14:textId="76D6E2CD" w:rsidR="00CE56D8" w:rsidRDefault="00C9032D" w:rsidP="00D65FAF">
      <w:pPr>
        <w:pStyle w:val="TCBNadpis1"/>
      </w:pPr>
      <w:bookmarkStart w:id="11" w:name="_Toc142307525"/>
      <w:r w:rsidRPr="00BE051F">
        <w:t>PROVOZNÍ A VÝKONNOSTNÍ PARAMETRY</w:t>
      </w:r>
      <w:bookmarkEnd w:id="11"/>
    </w:p>
    <w:p w14:paraId="785338DC" w14:textId="0C126B01" w:rsidR="00267462" w:rsidRDefault="00267462" w:rsidP="00267462">
      <w:pPr>
        <w:pStyle w:val="TCBNormalni"/>
      </w:pPr>
      <w:r>
        <w:t xml:space="preserve">Účel </w:t>
      </w:r>
      <w:r w:rsidR="00C77123">
        <w:t xml:space="preserve">projektu </w:t>
      </w:r>
      <w:r>
        <w:t xml:space="preserve">souvisí s dekarbonizací teplárny (ukončení spalování uhlí), což bude umožněno nově spalováním biomasy ve formě dřevní štěpky spolu se </w:t>
      </w:r>
      <w:proofErr w:type="spellStart"/>
      <w:r>
        <w:t>spoluspalováním</w:t>
      </w:r>
      <w:proofErr w:type="spellEnd"/>
      <w:r>
        <w:t xml:space="preserve"> rostlinných </w:t>
      </w:r>
      <w:proofErr w:type="spellStart"/>
      <w:r>
        <w:t>peletek</w:t>
      </w:r>
      <w:proofErr w:type="spellEnd"/>
      <w:r>
        <w:t xml:space="preserve"> v rámci stávajících kotlů K80/K90 a pouze dřevní štěpky v novém kotli K20. S touto změnou je nezbytné zajistit a realizovat takový technologický proces, který technicky a technologicky zajistí celek příjmu, skladování a dopravy štěpky, jak ke stávajícím rekonstruovaným kotlům K80 a K90, tak i do nového kotle K20.</w:t>
      </w:r>
    </w:p>
    <w:p w14:paraId="2BB9371A" w14:textId="2C85EB86" w:rsidR="00267462" w:rsidRDefault="00267462" w:rsidP="00267462">
      <w:pPr>
        <w:pStyle w:val="TCBNormalni"/>
      </w:pPr>
      <w:r>
        <w:t>Nový kotel K20 bude využíván pro pokrytí chybějícíh</w:t>
      </w:r>
      <w:r w:rsidR="00612007">
        <w:t>o</w:t>
      </w:r>
      <w:r>
        <w:t xml:space="preserve"> parního výkon</w:t>
      </w:r>
      <w:r w:rsidR="0097144C">
        <w:t>u</w:t>
      </w:r>
      <w:r>
        <w:t xml:space="preserve"> kotlů K80 a K90, kter</w:t>
      </w:r>
      <w:r w:rsidR="00612007">
        <w:t>ý</w:t>
      </w:r>
      <w:r>
        <w:t xml:space="preserve"> nastane po záměně paliva </w:t>
      </w:r>
      <w:r w:rsidR="00612007">
        <w:t xml:space="preserve">u </w:t>
      </w:r>
      <w:r>
        <w:t>těchto kotlů z uhlí na dřevní štěpku a nutném</w:t>
      </w:r>
      <w:r w:rsidR="0052307E">
        <w:t>u</w:t>
      </w:r>
      <w:r>
        <w:t xml:space="preserve"> </w:t>
      </w:r>
      <w:proofErr w:type="spellStart"/>
      <w:r>
        <w:t>retrofitu</w:t>
      </w:r>
      <w:proofErr w:type="spellEnd"/>
      <w:r>
        <w:t xml:space="preserve"> kotlů, kdy dojde ke snížení jmenovitého parního výkonu stávajících kotlů.</w:t>
      </w:r>
    </w:p>
    <w:p w14:paraId="7B839890" w14:textId="77777777" w:rsidR="00267462" w:rsidRDefault="00267462" w:rsidP="00267462">
      <w:pPr>
        <w:pStyle w:val="TCBNormalni"/>
      </w:pPr>
      <w:r>
        <w:t>Snížení jmenovitého parního výkonu stávajících kotlů K80/K90 ze 140 t/h VT páry na 100 t/h vede ke snížení parního výkonu o 80 t/h, který bude nahrazen z nového kotle K20.</w:t>
      </w:r>
    </w:p>
    <w:p w14:paraId="30344197" w14:textId="58F539B5" w:rsidR="002D16C6" w:rsidRDefault="00267462">
      <w:pPr>
        <w:pStyle w:val="TCBNormalni"/>
        <w:rPr>
          <w:highlight w:val="yellow"/>
        </w:rPr>
      </w:pPr>
      <w:r>
        <w:t>Parní kot</w:t>
      </w:r>
      <w:r w:rsidR="0052307E">
        <w:t>le</w:t>
      </w:r>
      <w:r>
        <w:t xml:space="preserve"> K20/K80/K90 tak budou dále využívány k výrobě VT páry a jejímu využití v parních turbínách ve vysoce účinné kogenerační výrobě elektřin</w:t>
      </w:r>
      <w:r w:rsidR="00CD08B5">
        <w:t>y</w:t>
      </w:r>
      <w:r>
        <w:t xml:space="preserve"> a tepla pro vytápění města</w:t>
      </w:r>
      <w:r w:rsidR="0030519D">
        <w:t xml:space="preserve"> Mladá Boleslav</w:t>
      </w:r>
      <w:r>
        <w:t xml:space="preserve"> </w:t>
      </w:r>
      <w:r w:rsidR="00CD08B5">
        <w:t xml:space="preserve">a </w:t>
      </w:r>
      <w:r w:rsidR="0063561A">
        <w:t>průmyslové zón</w:t>
      </w:r>
      <w:r w:rsidR="00C77123">
        <w:t>y</w:t>
      </w:r>
      <w:r w:rsidR="001C13E4">
        <w:t xml:space="preserve"> </w:t>
      </w:r>
      <w:r>
        <w:t>tak jako doposud.</w:t>
      </w:r>
    </w:p>
    <w:p w14:paraId="425871D0" w14:textId="5C20C0FF" w:rsidR="000002C8" w:rsidRDefault="000002C8" w:rsidP="00D65FAF">
      <w:pPr>
        <w:pStyle w:val="TCBNadpis2"/>
      </w:pPr>
      <w:bookmarkStart w:id="12" w:name="_Toc142307526"/>
      <w:r w:rsidRPr="00BC1672">
        <w:lastRenderedPageBreak/>
        <w:t xml:space="preserve">Výkonnostní parametry </w:t>
      </w:r>
      <w:r w:rsidR="00184C78">
        <w:t xml:space="preserve">budoucí </w:t>
      </w:r>
      <w:r w:rsidRPr="00BC1672">
        <w:t>JEDNOTKY</w:t>
      </w:r>
      <w:bookmarkEnd w:id="12"/>
    </w:p>
    <w:tbl>
      <w:tblPr>
        <w:tblW w:w="786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1"/>
        <w:gridCol w:w="1120"/>
        <w:gridCol w:w="1160"/>
        <w:gridCol w:w="1160"/>
        <w:gridCol w:w="1160"/>
      </w:tblGrid>
      <w:tr w:rsidR="00BE127D" w:rsidRPr="009F415F" w14:paraId="7FB1DDF2" w14:textId="77777777">
        <w:trPr>
          <w:trHeight w:val="335"/>
          <w:jc w:val="center"/>
        </w:trPr>
        <w:tc>
          <w:tcPr>
            <w:tcW w:w="3261" w:type="dxa"/>
            <w:shd w:val="clear" w:color="auto" w:fill="auto"/>
            <w:noWrap/>
            <w:vAlign w:val="center"/>
            <w:hideMark/>
          </w:tcPr>
          <w:p w14:paraId="1D1558E4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</w:p>
        </w:tc>
        <w:tc>
          <w:tcPr>
            <w:tcW w:w="1120" w:type="dxa"/>
            <w:shd w:val="clear" w:color="auto" w:fill="auto"/>
            <w:noWrap/>
            <w:vAlign w:val="center"/>
            <w:hideMark/>
          </w:tcPr>
          <w:p w14:paraId="56FFDD45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3480" w:type="dxa"/>
            <w:gridSpan w:val="3"/>
            <w:shd w:val="clear" w:color="auto" w:fill="auto"/>
            <w:noWrap/>
            <w:vAlign w:val="center"/>
          </w:tcPr>
          <w:p w14:paraId="30D893FB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b/>
                <w:bCs/>
                <w:sz w:val="20"/>
                <w:szCs w:val="20"/>
              </w:rPr>
              <w:t>kotle</w:t>
            </w:r>
          </w:p>
        </w:tc>
      </w:tr>
      <w:tr w:rsidR="00BE127D" w:rsidRPr="009F415F" w14:paraId="5540AE0C" w14:textId="77777777">
        <w:trPr>
          <w:trHeight w:val="271"/>
          <w:jc w:val="center"/>
        </w:trPr>
        <w:tc>
          <w:tcPr>
            <w:tcW w:w="3261" w:type="dxa"/>
            <w:shd w:val="clear" w:color="auto" w:fill="auto"/>
            <w:noWrap/>
            <w:vAlign w:val="center"/>
          </w:tcPr>
          <w:p w14:paraId="659C7DFB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  <w:t xml:space="preserve">provoz na biomasu – dřevní štěpka </w:t>
            </w:r>
          </w:p>
        </w:tc>
        <w:tc>
          <w:tcPr>
            <w:tcW w:w="1120" w:type="dxa"/>
            <w:shd w:val="clear" w:color="auto" w:fill="auto"/>
            <w:noWrap/>
            <w:vAlign w:val="center"/>
          </w:tcPr>
          <w:p w14:paraId="3F99E3C5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0DC3D163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b/>
                <w:bCs/>
                <w:sz w:val="20"/>
                <w:szCs w:val="20"/>
              </w:rPr>
              <w:t>K90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2C448E1F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b/>
                <w:bCs/>
                <w:sz w:val="20"/>
                <w:szCs w:val="20"/>
              </w:rPr>
              <w:t>K80</w:t>
            </w:r>
          </w:p>
        </w:tc>
        <w:tc>
          <w:tcPr>
            <w:tcW w:w="1160" w:type="dxa"/>
            <w:shd w:val="clear" w:color="auto" w:fill="auto"/>
            <w:noWrap/>
            <w:vAlign w:val="center"/>
          </w:tcPr>
          <w:p w14:paraId="5D0CF5DB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b/>
                <w:bCs/>
                <w:sz w:val="20"/>
                <w:szCs w:val="20"/>
              </w:rPr>
              <w:t>K20</w:t>
            </w:r>
          </w:p>
        </w:tc>
      </w:tr>
      <w:tr w:rsidR="00BE127D" w:rsidRPr="009F415F" w14:paraId="77FD419A" w14:textId="7777777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</w:tcPr>
          <w:p w14:paraId="2D61D3E2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1D0A508F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2FC12E0E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15F">
              <w:rPr>
                <w:rFonts w:ascii="Arial" w:hAnsi="Arial" w:cs="Arial"/>
                <w:sz w:val="20"/>
                <w:szCs w:val="20"/>
              </w:rPr>
              <w:t>retrofit</w:t>
            </w:r>
            <w:proofErr w:type="spellEnd"/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21109A17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9F415F">
              <w:rPr>
                <w:rFonts w:ascii="Arial" w:hAnsi="Arial" w:cs="Arial"/>
                <w:sz w:val="20"/>
                <w:szCs w:val="20"/>
              </w:rPr>
              <w:t>retrofit</w:t>
            </w:r>
            <w:proofErr w:type="spellEnd"/>
          </w:p>
        </w:tc>
        <w:tc>
          <w:tcPr>
            <w:tcW w:w="1160" w:type="dxa"/>
            <w:shd w:val="clear" w:color="auto" w:fill="auto"/>
            <w:noWrap/>
            <w:vAlign w:val="bottom"/>
          </w:tcPr>
          <w:p w14:paraId="14F43761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nový</w:t>
            </w:r>
          </w:p>
        </w:tc>
      </w:tr>
      <w:tr w:rsidR="00BE127D" w:rsidRPr="009F415F" w14:paraId="4766C006" w14:textId="7777777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9CAA815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 xml:space="preserve">Jmenovitý parní výkon 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7E9F0045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t/h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4DA64AF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9554CBD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100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6DCD39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80</w:t>
            </w:r>
          </w:p>
        </w:tc>
      </w:tr>
      <w:tr w:rsidR="00BE127D" w:rsidRPr="009F415F" w14:paraId="74ACAE0F" w14:textId="7777777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BE1887C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Jmenovitá teplota páry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63DE2E0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°C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F357F72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535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2670A9D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535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360EE67A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535</w:t>
            </w:r>
          </w:p>
        </w:tc>
      </w:tr>
      <w:tr w:rsidR="00BE127D" w:rsidRPr="009F415F" w14:paraId="281B36AA" w14:textId="7777777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1F9E6A31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Jmenovitý tlak přehřáté páry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1B5C8D47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proofErr w:type="spellStart"/>
            <w:r w:rsidRPr="009F415F">
              <w:rPr>
                <w:rFonts w:ascii="Arial" w:hAnsi="Arial" w:cs="Arial"/>
                <w:sz w:val="20"/>
                <w:szCs w:val="20"/>
              </w:rPr>
              <w:t>MPa</w:t>
            </w:r>
            <w:proofErr w:type="spellEnd"/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48A4AE77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0C5E49E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2E075FC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12,5</w:t>
            </w:r>
          </w:p>
        </w:tc>
      </w:tr>
      <w:tr w:rsidR="00BE127D" w:rsidRPr="009F415F" w14:paraId="5B41E4F0" w14:textId="7777777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370CE3D0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Jmenovitá účinnost kotle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048C640E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%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8E71720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46ED647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90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B1F4FB6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91</w:t>
            </w:r>
          </w:p>
        </w:tc>
      </w:tr>
      <w:tr w:rsidR="00BE127D" w:rsidRPr="009F415F" w14:paraId="4967B71D" w14:textId="7777777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09F8B3A4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Jmenovitý výkon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25105600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MW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EBFF30C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71,1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4DC0447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  <w:lang w:eastAsia="cs-CZ"/>
              </w:rPr>
              <w:t>71,1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279CE772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57,2</w:t>
            </w:r>
          </w:p>
        </w:tc>
      </w:tr>
      <w:tr w:rsidR="00BE127D" w:rsidRPr="009F415F" w14:paraId="32E314B5" w14:textId="7777777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2AE89DF1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Sumární jmenovitý výkon K80+K90+K20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38FFE830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MW</w:t>
            </w:r>
          </w:p>
        </w:tc>
        <w:tc>
          <w:tcPr>
            <w:tcW w:w="3480" w:type="dxa"/>
            <w:gridSpan w:val="3"/>
            <w:shd w:val="clear" w:color="auto" w:fill="auto"/>
            <w:noWrap/>
            <w:vAlign w:val="bottom"/>
            <w:hideMark/>
          </w:tcPr>
          <w:p w14:paraId="4C7B57C6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199,4</w:t>
            </w:r>
          </w:p>
        </w:tc>
      </w:tr>
      <w:tr w:rsidR="00BE127D" w:rsidRPr="009F415F" w14:paraId="3736BC61" w14:textId="7777777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4C9E2C0F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Teplený příkon při jmenovitém výkonu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6B0D2027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MW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19756CD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55E9E032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79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84AC365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63</w:t>
            </w:r>
          </w:p>
        </w:tc>
      </w:tr>
      <w:tr w:rsidR="00BE127D" w:rsidRPr="009F415F" w14:paraId="380EC3B6" w14:textId="7777777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</w:tcPr>
          <w:p w14:paraId="49E5A20A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Sumární tepelný příkon tuhá biomasa</w:t>
            </w:r>
          </w:p>
        </w:tc>
        <w:tc>
          <w:tcPr>
            <w:tcW w:w="1120" w:type="dxa"/>
            <w:shd w:val="clear" w:color="auto" w:fill="auto"/>
            <w:noWrap/>
            <w:vAlign w:val="bottom"/>
          </w:tcPr>
          <w:p w14:paraId="09863A72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kW</w:t>
            </w:r>
          </w:p>
        </w:tc>
        <w:tc>
          <w:tcPr>
            <w:tcW w:w="3480" w:type="dxa"/>
            <w:gridSpan w:val="3"/>
            <w:shd w:val="clear" w:color="auto" w:fill="auto"/>
            <w:noWrap/>
            <w:vAlign w:val="bottom"/>
          </w:tcPr>
          <w:p w14:paraId="7D7CCE99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221</w:t>
            </w:r>
          </w:p>
        </w:tc>
      </w:tr>
      <w:tr w:rsidR="00BE127D" w:rsidRPr="009F415F" w14:paraId="1D7C3C89" w14:textId="77777777">
        <w:trPr>
          <w:trHeight w:val="255"/>
          <w:jc w:val="center"/>
        </w:trPr>
        <w:tc>
          <w:tcPr>
            <w:tcW w:w="3261" w:type="dxa"/>
            <w:shd w:val="clear" w:color="auto" w:fill="auto"/>
            <w:noWrap/>
            <w:vAlign w:val="bottom"/>
            <w:hideMark/>
          </w:tcPr>
          <w:p w14:paraId="2976E7F9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Spotřeba paliva 10MJ/kg</w:t>
            </w:r>
          </w:p>
        </w:tc>
        <w:tc>
          <w:tcPr>
            <w:tcW w:w="1120" w:type="dxa"/>
            <w:shd w:val="clear" w:color="auto" w:fill="auto"/>
            <w:noWrap/>
            <w:vAlign w:val="bottom"/>
            <w:hideMark/>
          </w:tcPr>
          <w:p w14:paraId="51AE008A" w14:textId="77777777" w:rsidR="00BE127D" w:rsidRPr="009F415F" w:rsidRDefault="00BE127D">
            <w:pPr>
              <w:keepNext/>
              <w:spacing w:after="0" w:line="240" w:lineRule="auto"/>
              <w:jc w:val="left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t/h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1B579A1B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0ABFCDD6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28</w:t>
            </w:r>
          </w:p>
        </w:tc>
        <w:tc>
          <w:tcPr>
            <w:tcW w:w="1160" w:type="dxa"/>
            <w:shd w:val="clear" w:color="auto" w:fill="auto"/>
            <w:noWrap/>
            <w:vAlign w:val="bottom"/>
            <w:hideMark/>
          </w:tcPr>
          <w:p w14:paraId="7B483DEA" w14:textId="77777777" w:rsidR="00BE127D" w:rsidRPr="009F415F" w:rsidRDefault="00BE127D">
            <w:pPr>
              <w:keepNext/>
              <w:spacing w:after="0" w:line="240" w:lineRule="auto"/>
              <w:jc w:val="center"/>
              <w:rPr>
                <w:rFonts w:ascii="Arial" w:hAnsi="Arial" w:cs="Arial"/>
                <w:sz w:val="20"/>
                <w:szCs w:val="20"/>
                <w:lang w:eastAsia="cs-CZ"/>
              </w:rPr>
            </w:pPr>
            <w:r w:rsidRPr="009F415F">
              <w:rPr>
                <w:rFonts w:ascii="Arial" w:hAnsi="Arial" w:cs="Arial"/>
                <w:sz w:val="20"/>
                <w:szCs w:val="20"/>
              </w:rPr>
              <w:t>23</w:t>
            </w:r>
          </w:p>
        </w:tc>
      </w:tr>
    </w:tbl>
    <w:p w14:paraId="14730F0E" w14:textId="77777777" w:rsidR="00BE127D" w:rsidRPr="000002C8" w:rsidRDefault="00BE127D" w:rsidP="000002C8">
      <w:pPr>
        <w:pStyle w:val="TCBNormalni"/>
      </w:pPr>
    </w:p>
    <w:p w14:paraId="0E7B3DC3" w14:textId="3D67A369" w:rsidR="000002C8" w:rsidRPr="00781856" w:rsidRDefault="00781856" w:rsidP="00781856">
      <w:pPr>
        <w:pStyle w:val="TCBNormalni"/>
      </w:pPr>
      <w:r w:rsidRPr="00781856">
        <w:t>Palivem pro kotl</w:t>
      </w:r>
      <w:r w:rsidR="00F3047B">
        <w:t>e</w:t>
      </w:r>
      <w:r w:rsidRPr="00781856">
        <w:t xml:space="preserve"> K80/90 </w:t>
      </w:r>
      <w:r w:rsidR="00454C5C">
        <w:t>jsou</w:t>
      </w:r>
      <w:r w:rsidR="00454C5C" w:rsidRPr="00781856">
        <w:t xml:space="preserve"> </w:t>
      </w:r>
      <w:r w:rsidRPr="00781856">
        <w:t>kromě dře</w:t>
      </w:r>
      <w:r>
        <w:t xml:space="preserve">vní štěpky </w:t>
      </w:r>
      <w:proofErr w:type="spellStart"/>
      <w:r>
        <w:t>spol</w:t>
      </w:r>
      <w:r w:rsidR="005264FD">
        <w:t>u</w:t>
      </w:r>
      <w:r>
        <w:t>sp</w:t>
      </w:r>
      <w:r w:rsidR="005264FD">
        <w:t>a</w:t>
      </w:r>
      <w:r>
        <w:t>lované</w:t>
      </w:r>
      <w:proofErr w:type="spellEnd"/>
      <w:r>
        <w:t xml:space="preserve"> rostlinné </w:t>
      </w:r>
      <w:proofErr w:type="spellStart"/>
      <w:r>
        <w:t>peletky</w:t>
      </w:r>
      <w:proofErr w:type="spellEnd"/>
      <w:r>
        <w:t xml:space="preserve"> až do 30 % </w:t>
      </w:r>
      <w:r w:rsidR="005264FD">
        <w:t>p</w:t>
      </w:r>
      <w:r>
        <w:t>říkonu</w:t>
      </w:r>
      <w:r w:rsidR="00F3047B">
        <w:t xml:space="preserve"> a technologické palivo</w:t>
      </w:r>
    </w:p>
    <w:p w14:paraId="13452BB8" w14:textId="2F04E995" w:rsidR="00FD594F" w:rsidRDefault="00FD594F" w:rsidP="00D65FAF">
      <w:pPr>
        <w:pStyle w:val="TCBNadpis2"/>
      </w:pPr>
      <w:bookmarkStart w:id="13" w:name="_Toc142307527"/>
      <w:r>
        <w:t>Automatický provoz JEDNOTKY</w:t>
      </w:r>
      <w:r w:rsidR="00781856">
        <w:t xml:space="preserve"> OB</w:t>
      </w:r>
      <w:r w:rsidR="008B2E82">
        <w:t xml:space="preserve"> </w:t>
      </w:r>
      <w:r w:rsidR="00781856">
        <w:t>2</w:t>
      </w:r>
      <w:bookmarkEnd w:id="13"/>
    </w:p>
    <w:p w14:paraId="5FAAF5F4" w14:textId="640CA53E" w:rsidR="00FD594F" w:rsidRDefault="00FD594F" w:rsidP="00FD594F">
      <w:pPr>
        <w:pStyle w:val="TCBNormalni"/>
      </w:pPr>
      <w:r>
        <w:t>Provoz JEDNOTKY</w:t>
      </w:r>
      <w:r w:rsidR="00781856">
        <w:t xml:space="preserve"> OB</w:t>
      </w:r>
      <w:r w:rsidR="003E28C2">
        <w:t xml:space="preserve"> </w:t>
      </w:r>
      <w:r w:rsidR="00781856">
        <w:t xml:space="preserve">2 </w:t>
      </w:r>
      <w:r>
        <w:t>bude plně automatický během normálního provozu, najíždění a odstavování bude za součinnosti pochůzkové služby</w:t>
      </w:r>
      <w:r w:rsidR="00C32106">
        <w:t xml:space="preserve"> a provoz bude řízen z </w:t>
      </w:r>
      <w:r w:rsidR="00565FFE">
        <w:t>velínu.</w:t>
      </w:r>
      <w:r>
        <w:t xml:space="preserve"> </w:t>
      </w:r>
    </w:p>
    <w:p w14:paraId="676A3EF6" w14:textId="61FE125E" w:rsidR="00FD594F" w:rsidRDefault="0012261C" w:rsidP="00343BEB">
      <w:pPr>
        <w:pStyle w:val="TCBNormalni"/>
      </w:pPr>
      <w:r>
        <w:t>DÍLO OB 2</w:t>
      </w:r>
      <w:r w:rsidRPr="00FD594F">
        <w:t xml:space="preserve"> </w:t>
      </w:r>
      <w:r w:rsidR="00FD594F" w:rsidRPr="00FD594F">
        <w:t xml:space="preserve">bude klást minimální nároky na obsluhu a údržbu. </w:t>
      </w:r>
      <w:r w:rsidR="00DF001D" w:rsidRPr="00C95E0E">
        <w:t>DÍLO</w:t>
      </w:r>
      <w:r w:rsidR="00295244">
        <w:t xml:space="preserve"> </w:t>
      </w:r>
      <w:r w:rsidR="00A62070">
        <w:t>OB</w:t>
      </w:r>
      <w:r w:rsidR="008B2E82">
        <w:t xml:space="preserve"> </w:t>
      </w:r>
      <w:r w:rsidR="00A62070">
        <w:t>2</w:t>
      </w:r>
      <w:r w:rsidR="00DF001D" w:rsidRPr="00C95E0E">
        <w:t xml:space="preserve"> </w:t>
      </w:r>
      <w:r w:rsidR="00FD594F" w:rsidRPr="00C95E0E">
        <w:t>musí být na takové technické úrovni, v takové kvalitě a s takovým stupněm automatizace a zabezpečení, aby pochůzková činnost obsluhy byla při setrvalém provozním stavu (s výjimkou najíždění či odstavování) omezena na 1x za 2</w:t>
      </w:r>
      <w:r w:rsidR="0064663B">
        <w:t> </w:t>
      </w:r>
      <w:r w:rsidR="00FD594F" w:rsidRPr="00C95E0E">
        <w:t>hodiny</w:t>
      </w:r>
      <w:r w:rsidR="009558DC">
        <w:t>.</w:t>
      </w:r>
    </w:p>
    <w:p w14:paraId="22A17321" w14:textId="77777777" w:rsidR="00FD594F" w:rsidRDefault="00343BEB" w:rsidP="00D65FAF">
      <w:pPr>
        <w:pStyle w:val="TCBNadpis2"/>
      </w:pPr>
      <w:bookmarkStart w:id="14" w:name="_Toc142307528"/>
      <w:r w:rsidRPr="0083389D">
        <w:t>Způsob provozu</w:t>
      </w:r>
      <w:bookmarkEnd w:id="14"/>
    </w:p>
    <w:p w14:paraId="075BC612" w14:textId="33C1FB7F" w:rsidR="00ED533B" w:rsidRDefault="00A62070" w:rsidP="00343BEB">
      <w:pPr>
        <w:pStyle w:val="TCBNormalni"/>
      </w:pPr>
      <w:r>
        <w:t>Všechny kotle budou navrženy na trvalý provoz s maximální účinností. Kotle se bu</w:t>
      </w:r>
      <w:r w:rsidR="00C64197">
        <w:t>d</w:t>
      </w:r>
      <w:r>
        <w:t>ou výkonově vzáje</w:t>
      </w:r>
      <w:r w:rsidR="0016174F">
        <w:t>m</w:t>
      </w:r>
      <w:r>
        <w:t>ně doplňovat</w:t>
      </w:r>
      <w:r w:rsidR="0016174F">
        <w:t xml:space="preserve"> pro pokrytí potřeb parních turbín (spolu</w:t>
      </w:r>
      <w:r w:rsidR="00ED533B">
        <w:t xml:space="preserve"> </w:t>
      </w:r>
      <w:r w:rsidR="0016174F">
        <w:t>se stávajícím K70)</w:t>
      </w:r>
      <w:r w:rsidR="00DA488E">
        <w:t>,</w:t>
      </w:r>
      <w:r w:rsidR="0016174F">
        <w:t xml:space="preserve"> tak dodávek tepla do závodu</w:t>
      </w:r>
      <w:r w:rsidR="0051562D">
        <w:t>,</w:t>
      </w:r>
      <w:r w:rsidR="0016174F">
        <w:t xml:space="preserve"> respektive do Mladé Bole</w:t>
      </w:r>
      <w:r w:rsidR="00ED533B">
        <w:t xml:space="preserve">slavi. </w:t>
      </w:r>
    </w:p>
    <w:p w14:paraId="777A14D8" w14:textId="1298A4AF" w:rsidR="00ED533B" w:rsidRDefault="00ED533B" w:rsidP="00343BEB">
      <w:pPr>
        <w:pStyle w:val="TCBNormalni"/>
      </w:pPr>
      <w:r>
        <w:t>Předpokládá se, že kot</w:t>
      </w:r>
      <w:r w:rsidR="006C3509">
        <w:t>el</w:t>
      </w:r>
      <w:r>
        <w:t xml:space="preserve"> K20 bude moderní konstrukce a bude pracovat s </w:t>
      </w:r>
      <w:r w:rsidR="00DA488E">
        <w:t xml:space="preserve">vyšší </w:t>
      </w:r>
      <w:r>
        <w:t xml:space="preserve">účinností, proto se předpokládá primární zatěžování této jednotky. </w:t>
      </w:r>
    </w:p>
    <w:p w14:paraId="40DC3CA8" w14:textId="5C6971A6" w:rsidR="00343BEB" w:rsidRPr="006B43EA" w:rsidRDefault="00343BEB" w:rsidP="00D65FAF">
      <w:pPr>
        <w:pStyle w:val="TCBNadpis2"/>
      </w:pPr>
      <w:bookmarkStart w:id="15" w:name="_Toc398442120"/>
      <w:bookmarkStart w:id="16" w:name="_Toc398445241"/>
      <w:bookmarkStart w:id="17" w:name="_Toc398445461"/>
      <w:bookmarkStart w:id="18" w:name="_Toc430657776"/>
      <w:bookmarkStart w:id="19" w:name="_Toc142307529"/>
      <w:r w:rsidRPr="006B43EA">
        <w:t>Zabezpečení technologických zařízení v zimním období</w:t>
      </w:r>
      <w:bookmarkEnd w:id="15"/>
      <w:bookmarkEnd w:id="16"/>
      <w:bookmarkEnd w:id="17"/>
      <w:bookmarkEnd w:id="18"/>
      <w:bookmarkEnd w:id="19"/>
      <w:r w:rsidRPr="006B43EA">
        <w:t xml:space="preserve"> </w:t>
      </w:r>
    </w:p>
    <w:p w14:paraId="5C0FC1C9" w14:textId="465B84A3" w:rsidR="00343BEB" w:rsidRPr="006B43EA" w:rsidRDefault="0012261C" w:rsidP="00343BEB">
      <w:pPr>
        <w:pStyle w:val="TCBNormalni"/>
      </w:pPr>
      <w:r w:rsidRPr="006B43EA">
        <w:t xml:space="preserve">ZHOTOVITEL </w:t>
      </w:r>
      <w:r w:rsidR="00343BEB" w:rsidRPr="006B43EA">
        <w:t xml:space="preserve">musí provést všechna opatření, nutná k provozu </w:t>
      </w:r>
      <w:r w:rsidR="00565FFE">
        <w:t xml:space="preserve">JEDNOTKY </w:t>
      </w:r>
      <w:r w:rsidR="00B605F9">
        <w:t xml:space="preserve">OB 2 </w:t>
      </w:r>
      <w:r w:rsidR="00565FFE" w:rsidRPr="006B43EA">
        <w:t>v</w:t>
      </w:r>
      <w:r w:rsidR="00343BEB" w:rsidRPr="006B43EA">
        <w:t xml:space="preserve"> zimním období. Musí být zajištěno temperování budov a eventuelně další opatření, tak aby i po delší odstávce zařízení v zimním období </w:t>
      </w:r>
      <w:r w:rsidR="00942C1C">
        <w:t xml:space="preserve">JEDNOTKY </w:t>
      </w:r>
      <w:r w:rsidR="00343BEB" w:rsidRPr="006B43EA">
        <w:t xml:space="preserve">bylo </w:t>
      </w:r>
      <w:r w:rsidR="00565FFE" w:rsidRPr="006B43EA">
        <w:t>plně</w:t>
      </w:r>
      <w:r w:rsidR="00343BEB" w:rsidRPr="006B43EA">
        <w:t xml:space="preserve"> </w:t>
      </w:r>
      <w:r w:rsidR="00A80591" w:rsidRPr="006B43EA">
        <w:t>provozuschopn</w:t>
      </w:r>
      <w:r w:rsidR="00E9263A">
        <w:t>é</w:t>
      </w:r>
      <w:r w:rsidR="00A80591" w:rsidRPr="006B43EA">
        <w:t>,</w:t>
      </w:r>
      <w:r w:rsidR="00343BEB" w:rsidRPr="006B43EA">
        <w:t xml:space="preserve"> a zvláště bylo schopné splnit požadavky na start.</w:t>
      </w:r>
    </w:p>
    <w:p w14:paraId="611BC9EC" w14:textId="77777777" w:rsidR="00354C79" w:rsidRPr="00354C79" w:rsidRDefault="00354C79" w:rsidP="00D65FAF">
      <w:pPr>
        <w:pStyle w:val="TCBNadpis1"/>
      </w:pPr>
      <w:bookmarkStart w:id="20" w:name="_Toc142307530"/>
      <w:r w:rsidRPr="00354C79">
        <w:t>MEDIA</w:t>
      </w:r>
      <w:bookmarkEnd w:id="20"/>
    </w:p>
    <w:p w14:paraId="5FEFE2BA" w14:textId="77D4E413" w:rsidR="00740B78" w:rsidRPr="00C95E0E" w:rsidRDefault="00354C79" w:rsidP="00740B78">
      <w:pPr>
        <w:pStyle w:val="TCBNormalni"/>
      </w:pPr>
      <w:r w:rsidRPr="002D16C6">
        <w:rPr>
          <w:lang w:val="it-IT"/>
        </w:rPr>
        <w:t xml:space="preserve">Media pro </w:t>
      </w:r>
      <w:r w:rsidRPr="001C39C1">
        <w:t>provoz – viz příloha A 6.</w:t>
      </w:r>
    </w:p>
    <w:p w14:paraId="1DBB3E1F" w14:textId="77777777" w:rsidR="00354C79" w:rsidRPr="006861F6" w:rsidRDefault="00354C79" w:rsidP="00D65FAF">
      <w:pPr>
        <w:pStyle w:val="TCBNadpis1"/>
      </w:pPr>
      <w:bookmarkStart w:id="21" w:name="_Toc142307531"/>
      <w:r w:rsidRPr="006861F6">
        <w:lastRenderedPageBreak/>
        <w:t>SPOLEČNÝ PROVOZ NOVÉ A STARÉ TECHNOLOGIE</w:t>
      </w:r>
      <w:bookmarkEnd w:id="21"/>
    </w:p>
    <w:p w14:paraId="42DDEC8E" w14:textId="653C5234" w:rsidR="00C17FEA" w:rsidRDefault="00354C79" w:rsidP="00D65FAF">
      <w:pPr>
        <w:pStyle w:val="TCBNadpis2"/>
      </w:pPr>
      <w:bookmarkStart w:id="22" w:name="_Toc142307532"/>
      <w:r>
        <w:t>Období výstavby</w:t>
      </w:r>
      <w:bookmarkEnd w:id="22"/>
    </w:p>
    <w:p w14:paraId="19C08127" w14:textId="0578BD8D" w:rsidR="009A2051" w:rsidRDefault="009A2051" w:rsidP="00D65FAF">
      <w:pPr>
        <w:pStyle w:val="TCBNadpis3"/>
      </w:pPr>
      <w:bookmarkStart w:id="23" w:name="_Toc142307533"/>
      <w:r>
        <w:t>Organizační členění stavby</w:t>
      </w:r>
      <w:bookmarkEnd w:id="23"/>
      <w:r>
        <w:t xml:space="preserve"> </w:t>
      </w:r>
    </w:p>
    <w:p w14:paraId="7BD8AD76" w14:textId="43F5AEDA" w:rsidR="00B84D8E" w:rsidRDefault="001D7C69" w:rsidP="00BE051F">
      <w:pPr>
        <w:pStyle w:val="TCBNormalni"/>
      </w:pPr>
      <w:r>
        <w:t>Výstavba je ro</w:t>
      </w:r>
      <w:r w:rsidR="006D790B">
        <w:t>z</w:t>
      </w:r>
      <w:r>
        <w:t xml:space="preserve">dělen do </w:t>
      </w:r>
      <w:r w:rsidR="00E9263A">
        <w:t>sedmi</w:t>
      </w:r>
      <w:r>
        <w:t xml:space="preserve"> dodavatelských celků OB</w:t>
      </w:r>
      <w:r w:rsidR="00AB5924">
        <w:t xml:space="preserve"> </w:t>
      </w:r>
      <w:r>
        <w:t>1</w:t>
      </w:r>
      <w:r w:rsidR="00276010">
        <w:t xml:space="preserve"> </w:t>
      </w:r>
      <w:r>
        <w:t>-</w:t>
      </w:r>
      <w:r w:rsidR="00276010">
        <w:t xml:space="preserve"> </w:t>
      </w:r>
      <w:r>
        <w:t>OB</w:t>
      </w:r>
      <w:r w:rsidR="00AB5924">
        <w:t xml:space="preserve"> </w:t>
      </w:r>
      <w:r>
        <w:t>7</w:t>
      </w:r>
      <w:r w:rsidR="006D790B">
        <w:t>, které na sebe musí funkčně</w:t>
      </w:r>
      <w:r w:rsidR="002C4709">
        <w:t>,</w:t>
      </w:r>
      <w:r w:rsidR="006D790B">
        <w:t xml:space="preserve"> </w:t>
      </w:r>
      <w:r w:rsidR="00293C28">
        <w:t xml:space="preserve">časově a organizačně navazovat. </w:t>
      </w:r>
      <w:r w:rsidR="006D790B">
        <w:t xml:space="preserve"> </w:t>
      </w:r>
    </w:p>
    <w:p w14:paraId="266010D2" w14:textId="3553F9A8" w:rsidR="00F34D98" w:rsidRDefault="00B73604" w:rsidP="00276010">
      <w:pPr>
        <w:pStyle w:val="TCBNormalni"/>
        <w:jc w:val="left"/>
      </w:pPr>
      <w:r>
        <w:t xml:space="preserve">Dodavatelské členění viz Příloha A 1 kapitola </w:t>
      </w:r>
      <w:r w:rsidR="008C1D2B">
        <w:t xml:space="preserve">1.3 </w:t>
      </w:r>
    </w:p>
    <w:p w14:paraId="0438A361" w14:textId="77777777" w:rsidR="00B058D2" w:rsidRDefault="00B058D2" w:rsidP="00B058D2">
      <w:pPr>
        <w:pStyle w:val="TCBNormalni"/>
      </w:pPr>
      <w:r>
        <w:t xml:space="preserve">Připojovací místa mezi jednotlivými OB jsou vyznačena ve výkresové části a pro příslušný OB vyjmenována. </w:t>
      </w:r>
    </w:p>
    <w:p w14:paraId="1FC51E38" w14:textId="68CEE46A" w:rsidR="00940974" w:rsidRDefault="00262902" w:rsidP="00276010">
      <w:pPr>
        <w:pStyle w:val="TCBNormalni"/>
        <w:jc w:val="both"/>
      </w:pPr>
      <w:r>
        <w:t>Za koordinaci projektu a projektov</w:t>
      </w:r>
      <w:r w:rsidR="00CC077B">
        <w:t>ý</w:t>
      </w:r>
      <w:r>
        <w:t xml:space="preserve"> management je zodp</w:t>
      </w:r>
      <w:r w:rsidR="00CC077B">
        <w:t>o</w:t>
      </w:r>
      <w:r>
        <w:t xml:space="preserve">vědný OBJEDNATEL, který tak bude činit </w:t>
      </w:r>
      <w:r w:rsidR="00CC077B">
        <w:t>prostřednictvím vybraných firm</w:t>
      </w:r>
      <w:r w:rsidR="00161922">
        <w:t>y</w:t>
      </w:r>
      <w:r w:rsidR="00CC077B">
        <w:t xml:space="preserve"> </w:t>
      </w:r>
      <w:r w:rsidR="001974EC">
        <w:t>s</w:t>
      </w:r>
      <w:r w:rsidR="00DA488E">
        <w:t> </w:t>
      </w:r>
      <w:r w:rsidR="001974EC">
        <w:t>funkcí</w:t>
      </w:r>
      <w:r w:rsidR="00DA488E">
        <w:t xml:space="preserve"> </w:t>
      </w:r>
      <w:r w:rsidR="00CC077B">
        <w:t>G</w:t>
      </w:r>
      <w:r w:rsidR="001974EC">
        <w:t>e</w:t>
      </w:r>
      <w:r w:rsidR="00CC077B">
        <w:t>ner</w:t>
      </w:r>
      <w:r w:rsidR="001974EC">
        <w:t>á</w:t>
      </w:r>
      <w:r w:rsidR="00CC077B">
        <w:t>lního projekta</w:t>
      </w:r>
      <w:r w:rsidR="001974EC">
        <w:t>nta</w:t>
      </w:r>
      <w:r w:rsidR="00B058D2">
        <w:t xml:space="preserve"> a firmy zajišťující projektový management. </w:t>
      </w:r>
      <w:r w:rsidR="00CC077B">
        <w:t xml:space="preserve"> </w:t>
      </w:r>
    </w:p>
    <w:p w14:paraId="659A8A9B" w14:textId="77777777" w:rsidR="00940974" w:rsidRDefault="00940974" w:rsidP="00125744">
      <w:pPr>
        <w:pStyle w:val="TCBNormalni"/>
        <w:jc w:val="center"/>
      </w:pPr>
    </w:p>
    <w:p w14:paraId="4E775B51" w14:textId="1972BD32" w:rsidR="001329C0" w:rsidRPr="00F30084" w:rsidRDefault="008A75C1" w:rsidP="00BE051F">
      <w:pPr>
        <w:pStyle w:val="TCBNormalni"/>
        <w:rPr>
          <w:rFonts w:ascii="Arial" w:hAnsi="Arial" w:cs="Arial"/>
          <w:b/>
          <w:bCs/>
        </w:rPr>
      </w:pPr>
      <w:r w:rsidRPr="00F30084">
        <w:rPr>
          <w:rFonts w:ascii="Arial" w:hAnsi="Arial" w:cs="Arial"/>
          <w:b/>
          <w:bCs/>
        </w:rPr>
        <w:t xml:space="preserve">Generální projektant </w:t>
      </w:r>
    </w:p>
    <w:p w14:paraId="0B4E9DAC" w14:textId="084F4F33" w:rsidR="002D16C6" w:rsidRDefault="00117E66" w:rsidP="008A75C1">
      <w:r w:rsidRPr="00F30084">
        <w:rPr>
          <w:rFonts w:ascii="Arial" w:hAnsi="Arial" w:cs="Arial"/>
          <w:sz w:val="20"/>
          <w:szCs w:val="20"/>
        </w:rPr>
        <w:t xml:space="preserve">Pro výstavbu byl určen Generální </w:t>
      </w:r>
      <w:r w:rsidR="003B4FCE">
        <w:rPr>
          <w:rFonts w:ascii="Arial" w:hAnsi="Arial" w:cs="Arial"/>
          <w:sz w:val="20"/>
          <w:szCs w:val="20"/>
        </w:rPr>
        <w:t>p</w:t>
      </w:r>
      <w:r w:rsidRPr="00F30084">
        <w:rPr>
          <w:rFonts w:ascii="Arial" w:hAnsi="Arial" w:cs="Arial"/>
          <w:sz w:val="20"/>
          <w:szCs w:val="20"/>
        </w:rPr>
        <w:t>rojektant</w:t>
      </w:r>
      <w:r w:rsidR="008A75C1" w:rsidRPr="00F30084">
        <w:rPr>
          <w:rFonts w:ascii="Arial" w:hAnsi="Arial" w:cs="Arial"/>
          <w:sz w:val="20"/>
          <w:szCs w:val="20"/>
        </w:rPr>
        <w:t>, který zajišťuje projekční a administrativně-legislativní činnost v oblasti stavby a technologických celků (územní rozhodnutí, stavební řízení, dokumentace pro výběr zhotovitelů technologických celků atd.) a řídící, kontrolní a koordinační činnost v průběhu realizace modernizace teplárny</w:t>
      </w:r>
      <w:r w:rsidR="000F5F65" w:rsidRPr="00F30084">
        <w:rPr>
          <w:rFonts w:ascii="Arial" w:hAnsi="Arial" w:cs="Arial"/>
          <w:sz w:val="20"/>
          <w:szCs w:val="20"/>
        </w:rPr>
        <w:t xml:space="preserve"> na bázi hrani</w:t>
      </w:r>
      <w:r w:rsidR="00BF6728" w:rsidRPr="00F30084">
        <w:rPr>
          <w:rFonts w:ascii="Arial" w:hAnsi="Arial" w:cs="Arial"/>
          <w:sz w:val="20"/>
          <w:szCs w:val="20"/>
        </w:rPr>
        <w:t>č</w:t>
      </w:r>
      <w:r w:rsidR="000F5F65" w:rsidRPr="00F30084">
        <w:rPr>
          <w:rFonts w:ascii="Arial" w:hAnsi="Arial" w:cs="Arial"/>
          <w:sz w:val="20"/>
          <w:szCs w:val="20"/>
        </w:rPr>
        <w:t>ních podmínek</w:t>
      </w:r>
      <w:r w:rsidR="00A8176D" w:rsidRPr="00F30084">
        <w:rPr>
          <w:rFonts w:ascii="Arial" w:hAnsi="Arial" w:cs="Arial"/>
          <w:sz w:val="20"/>
          <w:szCs w:val="20"/>
        </w:rPr>
        <w:t xml:space="preserve"> a funkčností</w:t>
      </w:r>
      <w:r w:rsidR="000F5F65" w:rsidRPr="00F30084">
        <w:rPr>
          <w:rFonts w:ascii="Arial" w:hAnsi="Arial" w:cs="Arial"/>
          <w:sz w:val="20"/>
          <w:szCs w:val="20"/>
        </w:rPr>
        <w:t xml:space="preserve"> jednotlivých OB</w:t>
      </w:r>
      <w:r w:rsidR="00A8176D" w:rsidRPr="00F30084">
        <w:rPr>
          <w:rFonts w:ascii="Arial" w:hAnsi="Arial" w:cs="Arial"/>
          <w:sz w:val="20"/>
          <w:szCs w:val="20"/>
        </w:rPr>
        <w:t xml:space="preserve"> vůči sobě </w:t>
      </w:r>
      <w:r w:rsidR="000F5F65" w:rsidRPr="00F30084">
        <w:rPr>
          <w:rFonts w:ascii="Arial" w:hAnsi="Arial" w:cs="Arial"/>
          <w:sz w:val="20"/>
          <w:szCs w:val="20"/>
        </w:rPr>
        <w:t>a</w:t>
      </w:r>
      <w:r w:rsidR="00AA0C5E">
        <w:rPr>
          <w:rFonts w:ascii="Arial" w:hAnsi="Arial" w:cs="Arial"/>
          <w:sz w:val="20"/>
          <w:szCs w:val="20"/>
        </w:rPr>
        <w:t> </w:t>
      </w:r>
      <w:r w:rsidR="000F5F65" w:rsidRPr="00F30084">
        <w:rPr>
          <w:rFonts w:ascii="Arial" w:hAnsi="Arial" w:cs="Arial"/>
          <w:sz w:val="20"/>
          <w:szCs w:val="20"/>
        </w:rPr>
        <w:t xml:space="preserve">funkčnosti </w:t>
      </w:r>
      <w:r w:rsidR="00BF6728" w:rsidRPr="00F30084">
        <w:rPr>
          <w:rFonts w:ascii="Arial" w:hAnsi="Arial" w:cs="Arial"/>
          <w:sz w:val="20"/>
          <w:szCs w:val="20"/>
        </w:rPr>
        <w:t>Projektu jako celku.  Generální proje</w:t>
      </w:r>
      <w:r w:rsidR="00EA48D8" w:rsidRPr="00F30084">
        <w:rPr>
          <w:rFonts w:ascii="Arial" w:hAnsi="Arial" w:cs="Arial"/>
          <w:sz w:val="20"/>
          <w:szCs w:val="20"/>
        </w:rPr>
        <w:t>k</w:t>
      </w:r>
      <w:r w:rsidR="00BF6728" w:rsidRPr="00F30084">
        <w:rPr>
          <w:rFonts w:ascii="Arial" w:hAnsi="Arial" w:cs="Arial"/>
          <w:sz w:val="20"/>
          <w:szCs w:val="20"/>
        </w:rPr>
        <w:t>tant nezodpovíd</w:t>
      </w:r>
      <w:r w:rsidR="00EA48D8" w:rsidRPr="00F30084">
        <w:rPr>
          <w:rFonts w:ascii="Arial" w:hAnsi="Arial" w:cs="Arial"/>
          <w:sz w:val="20"/>
          <w:szCs w:val="20"/>
        </w:rPr>
        <w:t xml:space="preserve">á </w:t>
      </w:r>
      <w:r w:rsidR="00BF6728" w:rsidRPr="00F30084">
        <w:rPr>
          <w:rFonts w:ascii="Arial" w:hAnsi="Arial" w:cs="Arial"/>
          <w:sz w:val="20"/>
          <w:szCs w:val="20"/>
        </w:rPr>
        <w:t>za spr</w:t>
      </w:r>
      <w:r w:rsidR="00EA48D8" w:rsidRPr="00F30084">
        <w:rPr>
          <w:rFonts w:ascii="Arial" w:hAnsi="Arial" w:cs="Arial"/>
          <w:sz w:val="20"/>
          <w:szCs w:val="20"/>
        </w:rPr>
        <w:t>á</w:t>
      </w:r>
      <w:r w:rsidR="00BF6728" w:rsidRPr="00F30084">
        <w:rPr>
          <w:rFonts w:ascii="Arial" w:hAnsi="Arial" w:cs="Arial"/>
          <w:sz w:val="20"/>
          <w:szCs w:val="20"/>
        </w:rPr>
        <w:t>vnost projekt</w:t>
      </w:r>
      <w:r w:rsidR="00A8176D" w:rsidRPr="00F30084">
        <w:rPr>
          <w:rFonts w:ascii="Arial" w:hAnsi="Arial" w:cs="Arial"/>
          <w:sz w:val="20"/>
          <w:szCs w:val="20"/>
        </w:rPr>
        <w:t xml:space="preserve">u </w:t>
      </w:r>
      <w:r w:rsidR="00BF6728" w:rsidRPr="00F30084">
        <w:rPr>
          <w:rFonts w:ascii="Arial" w:hAnsi="Arial" w:cs="Arial"/>
          <w:sz w:val="20"/>
          <w:szCs w:val="20"/>
        </w:rPr>
        <w:t>ani realizac</w:t>
      </w:r>
      <w:r w:rsidR="00A8176D" w:rsidRPr="00F30084">
        <w:rPr>
          <w:rFonts w:ascii="Arial" w:hAnsi="Arial" w:cs="Arial"/>
          <w:sz w:val="20"/>
          <w:szCs w:val="20"/>
        </w:rPr>
        <w:t>i</w:t>
      </w:r>
      <w:r w:rsidR="00BF6728" w:rsidRPr="00F30084">
        <w:rPr>
          <w:rFonts w:ascii="Arial" w:hAnsi="Arial" w:cs="Arial"/>
          <w:sz w:val="20"/>
          <w:szCs w:val="20"/>
        </w:rPr>
        <w:t xml:space="preserve"> jednotlivých OB</w:t>
      </w:r>
      <w:r w:rsidR="00A8176D" w:rsidRPr="00F30084">
        <w:rPr>
          <w:rFonts w:ascii="Arial" w:hAnsi="Arial" w:cs="Arial"/>
          <w:sz w:val="20"/>
          <w:szCs w:val="20"/>
        </w:rPr>
        <w:t xml:space="preserve"> či řízení výst</w:t>
      </w:r>
      <w:r w:rsidR="00EA48D8" w:rsidRPr="00F30084">
        <w:rPr>
          <w:rFonts w:ascii="Arial" w:hAnsi="Arial" w:cs="Arial"/>
          <w:sz w:val="20"/>
          <w:szCs w:val="20"/>
        </w:rPr>
        <w:t>a</w:t>
      </w:r>
      <w:r w:rsidR="00A8176D" w:rsidRPr="00F30084">
        <w:rPr>
          <w:rFonts w:ascii="Arial" w:hAnsi="Arial" w:cs="Arial"/>
          <w:sz w:val="20"/>
          <w:szCs w:val="20"/>
        </w:rPr>
        <w:t>vby</w:t>
      </w:r>
      <w:r w:rsidR="00BF6728" w:rsidRPr="00F30084">
        <w:rPr>
          <w:rFonts w:ascii="Arial" w:hAnsi="Arial" w:cs="Arial"/>
          <w:sz w:val="20"/>
          <w:szCs w:val="20"/>
        </w:rPr>
        <w:t>.</w:t>
      </w:r>
    </w:p>
    <w:p w14:paraId="6BF367D7" w14:textId="37B3602B" w:rsidR="00EA48D8" w:rsidRPr="002D16C6" w:rsidRDefault="00AC5D7F" w:rsidP="008A75C1">
      <w:pPr>
        <w:rPr>
          <w:rFonts w:ascii="Arial" w:hAnsi="Arial" w:cs="Arial"/>
          <w:b/>
          <w:bCs/>
          <w:sz w:val="20"/>
          <w:szCs w:val="20"/>
        </w:rPr>
      </w:pPr>
      <w:r w:rsidRPr="002D16C6">
        <w:rPr>
          <w:rFonts w:ascii="Arial" w:hAnsi="Arial" w:cs="Arial"/>
          <w:b/>
          <w:bCs/>
          <w:sz w:val="20"/>
          <w:szCs w:val="20"/>
        </w:rPr>
        <w:t>Proje</w:t>
      </w:r>
      <w:r w:rsidR="00DB29F0">
        <w:rPr>
          <w:rFonts w:ascii="Arial" w:hAnsi="Arial" w:cs="Arial"/>
          <w:b/>
          <w:bCs/>
          <w:sz w:val="20"/>
          <w:szCs w:val="20"/>
        </w:rPr>
        <w:t>ktový</w:t>
      </w:r>
      <w:r w:rsidRPr="002D16C6">
        <w:rPr>
          <w:rFonts w:ascii="Arial" w:hAnsi="Arial" w:cs="Arial"/>
          <w:b/>
          <w:bCs/>
          <w:sz w:val="20"/>
          <w:szCs w:val="20"/>
        </w:rPr>
        <w:t xml:space="preserve"> Management </w:t>
      </w:r>
    </w:p>
    <w:p w14:paraId="7B7EE797" w14:textId="59FEF772" w:rsidR="00EA48D8" w:rsidRPr="002D16C6" w:rsidRDefault="00AB6C5F" w:rsidP="008A75C1">
      <w:pPr>
        <w:rPr>
          <w:rFonts w:ascii="Arial" w:hAnsi="Arial" w:cs="Arial"/>
          <w:sz w:val="20"/>
          <w:szCs w:val="20"/>
        </w:rPr>
      </w:pPr>
      <w:r w:rsidRPr="002D16C6">
        <w:rPr>
          <w:rFonts w:ascii="Arial" w:hAnsi="Arial" w:cs="Arial"/>
          <w:sz w:val="20"/>
          <w:szCs w:val="20"/>
        </w:rPr>
        <w:t>OBJEDNATEL zároveň pro období výstavby vybral firmu zajišťující projektový managem</w:t>
      </w:r>
      <w:r w:rsidR="00E954AE" w:rsidRPr="002D16C6">
        <w:rPr>
          <w:rFonts w:ascii="Arial" w:hAnsi="Arial" w:cs="Arial"/>
          <w:sz w:val="20"/>
          <w:szCs w:val="20"/>
        </w:rPr>
        <w:t>en</w:t>
      </w:r>
      <w:r w:rsidRPr="002D16C6">
        <w:rPr>
          <w:rFonts w:ascii="Arial" w:hAnsi="Arial" w:cs="Arial"/>
          <w:sz w:val="20"/>
          <w:szCs w:val="20"/>
        </w:rPr>
        <w:t>t ses</w:t>
      </w:r>
      <w:r w:rsidR="00E954AE" w:rsidRPr="002D16C6">
        <w:rPr>
          <w:rFonts w:ascii="Arial" w:hAnsi="Arial" w:cs="Arial"/>
          <w:sz w:val="20"/>
          <w:szCs w:val="20"/>
        </w:rPr>
        <w:t>t</w:t>
      </w:r>
      <w:r w:rsidRPr="002D16C6">
        <w:rPr>
          <w:rFonts w:ascii="Arial" w:hAnsi="Arial" w:cs="Arial"/>
          <w:sz w:val="20"/>
          <w:szCs w:val="20"/>
        </w:rPr>
        <w:t>ávající se zejména z</w:t>
      </w:r>
      <w:r w:rsidR="00E954AE" w:rsidRPr="002D16C6">
        <w:rPr>
          <w:rFonts w:ascii="Arial" w:hAnsi="Arial" w:cs="Arial"/>
          <w:sz w:val="20"/>
          <w:szCs w:val="20"/>
        </w:rPr>
        <w:t>:</w:t>
      </w:r>
      <w:r w:rsidR="000A6A87" w:rsidRPr="002D16C6">
        <w:rPr>
          <w:rFonts w:ascii="Arial" w:hAnsi="Arial" w:cs="Arial"/>
          <w:sz w:val="20"/>
          <w:szCs w:val="20"/>
        </w:rPr>
        <w:t xml:space="preserve"> Projektového manageme</w:t>
      </w:r>
      <w:r w:rsidR="008A5988" w:rsidRPr="002D16C6">
        <w:rPr>
          <w:rFonts w:ascii="Arial" w:hAnsi="Arial" w:cs="Arial"/>
          <w:sz w:val="20"/>
          <w:szCs w:val="20"/>
        </w:rPr>
        <w:t>n</w:t>
      </w:r>
      <w:r w:rsidR="000A6A87" w:rsidRPr="002D16C6">
        <w:rPr>
          <w:rFonts w:ascii="Arial" w:hAnsi="Arial" w:cs="Arial"/>
          <w:sz w:val="20"/>
          <w:szCs w:val="20"/>
        </w:rPr>
        <w:t xml:space="preserve">tu, </w:t>
      </w:r>
      <w:r w:rsidR="002E43B2">
        <w:rPr>
          <w:rFonts w:ascii="Arial" w:hAnsi="Arial" w:cs="Arial"/>
          <w:sz w:val="20"/>
          <w:szCs w:val="20"/>
        </w:rPr>
        <w:t xml:space="preserve">řízení a koordinaci výstavby, </w:t>
      </w:r>
      <w:proofErr w:type="spellStart"/>
      <w:r w:rsidR="00F351D8">
        <w:rPr>
          <w:rFonts w:ascii="Arial" w:hAnsi="Arial" w:cs="Arial"/>
          <w:sz w:val="20"/>
          <w:szCs w:val="20"/>
        </w:rPr>
        <w:t>v</w:t>
      </w:r>
      <w:r w:rsidR="000A6A87" w:rsidRPr="002D16C6">
        <w:rPr>
          <w:rFonts w:ascii="Arial" w:hAnsi="Arial" w:cs="Arial"/>
          <w:sz w:val="20"/>
          <w:szCs w:val="20"/>
        </w:rPr>
        <w:t>alue</w:t>
      </w:r>
      <w:proofErr w:type="spellEnd"/>
      <w:r w:rsidR="000A6A87" w:rsidRPr="002D16C6">
        <w:rPr>
          <w:rFonts w:ascii="Arial" w:hAnsi="Arial" w:cs="Arial"/>
          <w:sz w:val="20"/>
          <w:szCs w:val="20"/>
        </w:rPr>
        <w:t xml:space="preserve"> </w:t>
      </w:r>
      <w:proofErr w:type="spellStart"/>
      <w:r w:rsidR="004A0080">
        <w:rPr>
          <w:rFonts w:ascii="Arial" w:hAnsi="Arial" w:cs="Arial"/>
          <w:sz w:val="20"/>
          <w:szCs w:val="20"/>
        </w:rPr>
        <w:t>e</w:t>
      </w:r>
      <w:r w:rsidR="000A6A87" w:rsidRPr="002D16C6">
        <w:rPr>
          <w:rFonts w:ascii="Arial" w:hAnsi="Arial" w:cs="Arial"/>
          <w:sz w:val="20"/>
          <w:szCs w:val="20"/>
        </w:rPr>
        <w:t>ngineering</w:t>
      </w:r>
      <w:proofErr w:type="spellEnd"/>
      <w:r w:rsidR="000A6A87" w:rsidRPr="002D16C6">
        <w:rPr>
          <w:rFonts w:ascii="Arial" w:hAnsi="Arial" w:cs="Arial"/>
          <w:sz w:val="20"/>
          <w:szCs w:val="20"/>
        </w:rPr>
        <w:t xml:space="preserve">, </w:t>
      </w:r>
      <w:r w:rsidR="00F351D8">
        <w:rPr>
          <w:rFonts w:ascii="Arial" w:hAnsi="Arial" w:cs="Arial"/>
          <w:sz w:val="20"/>
          <w:szCs w:val="20"/>
        </w:rPr>
        <w:t>c</w:t>
      </w:r>
      <w:r w:rsidR="000A6A87" w:rsidRPr="002D16C6">
        <w:rPr>
          <w:rFonts w:ascii="Arial" w:hAnsi="Arial" w:cs="Arial"/>
          <w:sz w:val="20"/>
          <w:szCs w:val="20"/>
        </w:rPr>
        <w:t>enového ma</w:t>
      </w:r>
      <w:r w:rsidR="00E16F7E" w:rsidRPr="002D16C6">
        <w:rPr>
          <w:rFonts w:ascii="Arial" w:hAnsi="Arial" w:cs="Arial"/>
          <w:sz w:val="20"/>
          <w:szCs w:val="20"/>
        </w:rPr>
        <w:t>na</w:t>
      </w:r>
      <w:r w:rsidR="000A6A87" w:rsidRPr="002D16C6">
        <w:rPr>
          <w:rFonts w:ascii="Arial" w:hAnsi="Arial" w:cs="Arial"/>
          <w:sz w:val="20"/>
          <w:szCs w:val="20"/>
        </w:rPr>
        <w:t xml:space="preserve">gementu, </w:t>
      </w:r>
      <w:r w:rsidR="00F351D8">
        <w:rPr>
          <w:rFonts w:ascii="Arial" w:hAnsi="Arial" w:cs="Arial"/>
          <w:sz w:val="20"/>
          <w:szCs w:val="20"/>
        </w:rPr>
        <w:t>t</w:t>
      </w:r>
      <w:r w:rsidR="000A6A87" w:rsidRPr="002D16C6">
        <w:rPr>
          <w:rFonts w:ascii="Arial" w:hAnsi="Arial" w:cs="Arial"/>
          <w:sz w:val="20"/>
          <w:szCs w:val="20"/>
        </w:rPr>
        <w:t>e</w:t>
      </w:r>
      <w:r w:rsidR="00E16F7E" w:rsidRPr="002D16C6">
        <w:rPr>
          <w:rFonts w:ascii="Arial" w:hAnsi="Arial" w:cs="Arial"/>
          <w:sz w:val="20"/>
          <w:szCs w:val="20"/>
        </w:rPr>
        <w:t>c</w:t>
      </w:r>
      <w:r w:rsidR="000A6A87" w:rsidRPr="002D16C6">
        <w:rPr>
          <w:rFonts w:ascii="Arial" w:hAnsi="Arial" w:cs="Arial"/>
          <w:sz w:val="20"/>
          <w:szCs w:val="20"/>
        </w:rPr>
        <w:t>hni</w:t>
      </w:r>
      <w:r w:rsidR="00E16F7E" w:rsidRPr="002D16C6">
        <w:rPr>
          <w:rFonts w:ascii="Arial" w:hAnsi="Arial" w:cs="Arial"/>
          <w:sz w:val="20"/>
          <w:szCs w:val="20"/>
        </w:rPr>
        <w:t>c</w:t>
      </w:r>
      <w:r w:rsidR="000A6A87" w:rsidRPr="002D16C6">
        <w:rPr>
          <w:rFonts w:ascii="Arial" w:hAnsi="Arial" w:cs="Arial"/>
          <w:sz w:val="20"/>
          <w:szCs w:val="20"/>
        </w:rPr>
        <w:t>kého dozor</w:t>
      </w:r>
      <w:r w:rsidR="00E16F7E" w:rsidRPr="002D16C6">
        <w:rPr>
          <w:rFonts w:ascii="Arial" w:hAnsi="Arial" w:cs="Arial"/>
          <w:sz w:val="20"/>
          <w:szCs w:val="20"/>
        </w:rPr>
        <w:t>u</w:t>
      </w:r>
      <w:r w:rsidR="000A6A87" w:rsidRPr="002D16C6">
        <w:rPr>
          <w:rFonts w:ascii="Arial" w:hAnsi="Arial" w:cs="Arial"/>
          <w:sz w:val="20"/>
          <w:szCs w:val="20"/>
        </w:rPr>
        <w:t xml:space="preserve"> investora, Koordin</w:t>
      </w:r>
      <w:r w:rsidR="00E16F7E" w:rsidRPr="002D16C6">
        <w:rPr>
          <w:rFonts w:ascii="Arial" w:hAnsi="Arial" w:cs="Arial"/>
          <w:sz w:val="20"/>
          <w:szCs w:val="20"/>
        </w:rPr>
        <w:t>a</w:t>
      </w:r>
      <w:r w:rsidR="000A6A87" w:rsidRPr="002D16C6">
        <w:rPr>
          <w:rFonts w:ascii="Arial" w:hAnsi="Arial" w:cs="Arial"/>
          <w:sz w:val="20"/>
          <w:szCs w:val="20"/>
        </w:rPr>
        <w:t>ce BOZP a požární ochra</w:t>
      </w:r>
      <w:r w:rsidR="00E16F7E" w:rsidRPr="002D16C6">
        <w:rPr>
          <w:rFonts w:ascii="Arial" w:hAnsi="Arial" w:cs="Arial"/>
          <w:sz w:val="20"/>
          <w:szCs w:val="20"/>
        </w:rPr>
        <w:t>ny.</w:t>
      </w:r>
    </w:p>
    <w:p w14:paraId="347E220E" w14:textId="21E2CE4B" w:rsidR="00E16F7E" w:rsidRPr="002D16C6" w:rsidRDefault="00E16F7E" w:rsidP="008A75C1">
      <w:pPr>
        <w:rPr>
          <w:rFonts w:ascii="Arial" w:hAnsi="Arial" w:cs="Arial"/>
          <w:b/>
          <w:bCs/>
          <w:sz w:val="20"/>
          <w:szCs w:val="20"/>
        </w:rPr>
      </w:pPr>
      <w:r w:rsidRPr="002D16C6">
        <w:rPr>
          <w:rFonts w:ascii="Arial" w:hAnsi="Arial" w:cs="Arial"/>
          <w:b/>
          <w:bCs/>
          <w:sz w:val="20"/>
          <w:szCs w:val="20"/>
        </w:rPr>
        <w:t xml:space="preserve">Povinnosti ZHOTOVITELE </w:t>
      </w:r>
    </w:p>
    <w:p w14:paraId="4875F4AD" w14:textId="776B452C" w:rsidR="001329C0" w:rsidRPr="00F34D98" w:rsidRDefault="00EA48D8" w:rsidP="00F879DA">
      <w:r w:rsidRPr="002D16C6">
        <w:rPr>
          <w:rFonts w:ascii="Arial" w:hAnsi="Arial" w:cs="Arial"/>
          <w:sz w:val="20"/>
          <w:szCs w:val="20"/>
        </w:rPr>
        <w:t>Zhotovitelé jednotlivých OB jsou povinni aktivně spolupracovat s </w:t>
      </w:r>
      <w:r w:rsidR="004A0080">
        <w:rPr>
          <w:rFonts w:ascii="Arial" w:hAnsi="Arial" w:cs="Arial"/>
          <w:sz w:val="20"/>
          <w:szCs w:val="20"/>
        </w:rPr>
        <w:t>g</w:t>
      </w:r>
      <w:r w:rsidRPr="002D16C6">
        <w:rPr>
          <w:rFonts w:ascii="Arial" w:hAnsi="Arial" w:cs="Arial"/>
          <w:sz w:val="20"/>
          <w:szCs w:val="20"/>
        </w:rPr>
        <w:t>enerálním projektantem</w:t>
      </w:r>
      <w:r w:rsidR="00E16F7E" w:rsidRPr="002D16C6">
        <w:rPr>
          <w:rFonts w:ascii="Arial" w:hAnsi="Arial" w:cs="Arial"/>
          <w:sz w:val="20"/>
          <w:szCs w:val="20"/>
        </w:rPr>
        <w:t xml:space="preserve"> a </w:t>
      </w:r>
      <w:r w:rsidR="000B6343" w:rsidRPr="002D16C6">
        <w:rPr>
          <w:rFonts w:ascii="Arial" w:hAnsi="Arial" w:cs="Arial"/>
          <w:sz w:val="20"/>
          <w:szCs w:val="20"/>
        </w:rPr>
        <w:t xml:space="preserve">firmou </w:t>
      </w:r>
      <w:r w:rsidR="004A0080">
        <w:rPr>
          <w:rFonts w:ascii="Arial" w:hAnsi="Arial" w:cs="Arial"/>
          <w:sz w:val="20"/>
          <w:szCs w:val="20"/>
        </w:rPr>
        <w:t>p</w:t>
      </w:r>
      <w:r w:rsidR="000B6343" w:rsidRPr="002D16C6">
        <w:rPr>
          <w:rFonts w:ascii="Arial" w:hAnsi="Arial" w:cs="Arial"/>
          <w:sz w:val="20"/>
          <w:szCs w:val="20"/>
        </w:rPr>
        <w:t>rojektového manag</w:t>
      </w:r>
      <w:r w:rsidR="008A5988" w:rsidRPr="002D16C6">
        <w:rPr>
          <w:rFonts w:ascii="Arial" w:hAnsi="Arial" w:cs="Arial"/>
          <w:sz w:val="20"/>
          <w:szCs w:val="20"/>
        </w:rPr>
        <w:t>e</w:t>
      </w:r>
      <w:r w:rsidR="000B6343" w:rsidRPr="002D16C6">
        <w:rPr>
          <w:rFonts w:ascii="Arial" w:hAnsi="Arial" w:cs="Arial"/>
          <w:sz w:val="20"/>
          <w:szCs w:val="20"/>
        </w:rPr>
        <w:t xml:space="preserve">mentu ať již v rámci </w:t>
      </w:r>
      <w:r w:rsidR="00BE55AF" w:rsidRPr="002D16C6">
        <w:rPr>
          <w:rFonts w:ascii="Arial" w:hAnsi="Arial" w:cs="Arial"/>
          <w:sz w:val="20"/>
          <w:szCs w:val="20"/>
        </w:rPr>
        <w:t>přípravy projektu, vypracování projektu, rea</w:t>
      </w:r>
      <w:r w:rsidR="008A5988" w:rsidRPr="002D16C6">
        <w:rPr>
          <w:rFonts w:ascii="Arial" w:hAnsi="Arial" w:cs="Arial"/>
          <w:sz w:val="20"/>
          <w:szCs w:val="20"/>
        </w:rPr>
        <w:t>l</w:t>
      </w:r>
      <w:r w:rsidR="00BE55AF" w:rsidRPr="002D16C6">
        <w:rPr>
          <w:rFonts w:ascii="Arial" w:hAnsi="Arial" w:cs="Arial"/>
          <w:sz w:val="20"/>
          <w:szCs w:val="20"/>
        </w:rPr>
        <w:t>izace stavby včetně změnových řízení a aktivně upozorňovat na nesoulady</w:t>
      </w:r>
      <w:r w:rsidRPr="002D16C6">
        <w:rPr>
          <w:rFonts w:ascii="Arial" w:hAnsi="Arial" w:cs="Arial"/>
          <w:sz w:val="20"/>
          <w:szCs w:val="20"/>
        </w:rPr>
        <w:t xml:space="preserve"> </w:t>
      </w:r>
      <w:r w:rsidR="00BF6728" w:rsidRPr="002D16C6">
        <w:rPr>
          <w:rFonts w:ascii="Arial" w:hAnsi="Arial" w:cs="Arial"/>
          <w:sz w:val="20"/>
          <w:szCs w:val="20"/>
        </w:rPr>
        <w:t xml:space="preserve"> </w:t>
      </w:r>
    </w:p>
    <w:p w14:paraId="3F61EBB9" w14:textId="053C6BEC" w:rsidR="008A5988" w:rsidRPr="00B91085" w:rsidRDefault="008A5988" w:rsidP="00D65FAF">
      <w:pPr>
        <w:pStyle w:val="TCBNadpis3"/>
      </w:pPr>
      <w:bookmarkStart w:id="24" w:name="_Toc142307534"/>
      <w:r w:rsidRPr="008C0D2A">
        <w:t>Postup výstavby</w:t>
      </w:r>
      <w:bookmarkEnd w:id="24"/>
      <w:r w:rsidRPr="008C0D2A">
        <w:t xml:space="preserve"> </w:t>
      </w:r>
    </w:p>
    <w:p w14:paraId="3ED815E5" w14:textId="2CD772BE" w:rsidR="00133540" w:rsidRPr="00DC7931" w:rsidRDefault="00133540" w:rsidP="00D134DC">
      <w:pPr>
        <w:pStyle w:val="TCBNadpis4"/>
      </w:pPr>
      <w:bookmarkStart w:id="25" w:name="_Toc142307535"/>
      <w:r w:rsidRPr="00DC7931">
        <w:t>Všeobecné podmínky</w:t>
      </w:r>
      <w:bookmarkEnd w:id="25"/>
      <w:r w:rsidRPr="00DC7931">
        <w:t xml:space="preserve"> </w:t>
      </w:r>
    </w:p>
    <w:p w14:paraId="725D1F8C" w14:textId="1FB6C25F" w:rsidR="00403C98" w:rsidRPr="00DC7931" w:rsidRDefault="00BE051F" w:rsidP="00FA00D2">
      <w:pPr>
        <w:pStyle w:val="TCBNormalni"/>
        <w:numPr>
          <w:ilvl w:val="0"/>
          <w:numId w:val="19"/>
        </w:numPr>
      </w:pPr>
      <w:r w:rsidRPr="00DC7931">
        <w:t xml:space="preserve">Během výstavby musí být zachován a nesmí být ohrožen nebo </w:t>
      </w:r>
      <w:r w:rsidR="00565FFE" w:rsidRPr="00DC7931">
        <w:t>omezen provoz</w:t>
      </w:r>
      <w:r w:rsidRPr="00DC7931">
        <w:t xml:space="preserve"> </w:t>
      </w:r>
      <w:r w:rsidR="00C17FEA" w:rsidRPr="00DC7931">
        <w:t>osta</w:t>
      </w:r>
      <w:r w:rsidR="007606F5" w:rsidRPr="00DC7931">
        <w:t>t</w:t>
      </w:r>
      <w:r w:rsidR="00C17FEA" w:rsidRPr="00DC7931">
        <w:t xml:space="preserve">ních </w:t>
      </w:r>
      <w:r w:rsidR="00403C98" w:rsidRPr="00DC7931">
        <w:t xml:space="preserve">nemodernizovaných </w:t>
      </w:r>
      <w:r w:rsidR="00C17FEA" w:rsidRPr="00DC7931">
        <w:t>kotlů to jak plynového parního K70</w:t>
      </w:r>
      <w:r w:rsidR="00B91085">
        <w:t>,</w:t>
      </w:r>
      <w:r w:rsidR="00445904" w:rsidRPr="00DC7931">
        <w:t xml:space="preserve"> tak i ostatních výtopenských plynových kotlů K40,</w:t>
      </w:r>
      <w:r w:rsidR="00783E97">
        <w:t xml:space="preserve"> K</w:t>
      </w:r>
      <w:r w:rsidR="00445904" w:rsidRPr="00DC7931">
        <w:t>50</w:t>
      </w:r>
      <w:r w:rsidR="00783E97">
        <w:t xml:space="preserve"> a</w:t>
      </w:r>
      <w:r w:rsidR="00AB5924">
        <w:t xml:space="preserve"> </w:t>
      </w:r>
      <w:r w:rsidR="00B67523">
        <w:t>K</w:t>
      </w:r>
      <w:r w:rsidR="00445904" w:rsidRPr="00DC7931">
        <w:t>60.</w:t>
      </w:r>
      <w:r w:rsidR="004D05FA">
        <w:t xml:space="preserve">V případě nutnosti omezení jejich provozu bude </w:t>
      </w:r>
      <w:r w:rsidR="00CC151D">
        <w:t>tato aktivita sp</w:t>
      </w:r>
      <w:r w:rsidR="00380EC0">
        <w:t>ole</w:t>
      </w:r>
      <w:r w:rsidR="00CC151D">
        <w:t>čn</w:t>
      </w:r>
      <w:r w:rsidR="00380EC0">
        <w:t>ě</w:t>
      </w:r>
      <w:r w:rsidR="00CC151D">
        <w:t xml:space="preserve"> </w:t>
      </w:r>
      <w:r w:rsidR="00380EC0">
        <w:t>v dostatečném časovém předstihu</w:t>
      </w:r>
      <w:r w:rsidR="00955A5D">
        <w:t xml:space="preserve"> </w:t>
      </w:r>
      <w:r w:rsidR="00CC151D">
        <w:t>plánována spolu s OBJEDNATELEM.</w:t>
      </w:r>
    </w:p>
    <w:p w14:paraId="5CC4D54E" w14:textId="45D30945" w:rsidR="005D48F3" w:rsidRPr="00DC7931" w:rsidRDefault="00403C98" w:rsidP="00FA00D2">
      <w:pPr>
        <w:pStyle w:val="TCBNormalni"/>
        <w:numPr>
          <w:ilvl w:val="0"/>
          <w:numId w:val="19"/>
        </w:numPr>
      </w:pPr>
      <w:r w:rsidRPr="00DC7931">
        <w:t>Musí být zajištěn</w:t>
      </w:r>
      <w:r w:rsidR="00352E9B">
        <w:t>y</w:t>
      </w:r>
      <w:r w:rsidRPr="00DC7931">
        <w:t xml:space="preserve"> </w:t>
      </w:r>
      <w:r w:rsidR="001B111F">
        <w:t xml:space="preserve">požadované </w:t>
      </w:r>
      <w:r w:rsidRPr="00DC7931">
        <w:t>dodávky tepla</w:t>
      </w:r>
      <w:r w:rsidR="00352E9B">
        <w:t xml:space="preserve"> </w:t>
      </w:r>
      <w:r w:rsidR="001B111F">
        <w:t xml:space="preserve">z VÝROBNY </w:t>
      </w:r>
      <w:r w:rsidR="00352E9B">
        <w:t>bez omezení</w:t>
      </w:r>
      <w:r w:rsidR="005A66AB">
        <w:t>.</w:t>
      </w:r>
    </w:p>
    <w:p w14:paraId="4A7D3C47" w14:textId="4F5EE3CA" w:rsidR="00445904" w:rsidRPr="00DC7931" w:rsidRDefault="005D48F3" w:rsidP="00FA00D2">
      <w:pPr>
        <w:pStyle w:val="TCBNormalni"/>
        <w:numPr>
          <w:ilvl w:val="0"/>
          <w:numId w:val="19"/>
        </w:numPr>
      </w:pPr>
      <w:r w:rsidRPr="00DC7931">
        <w:t xml:space="preserve">Musí být zajištěna dodávka el. </w:t>
      </w:r>
      <w:r w:rsidR="00E33DF7">
        <w:t>e</w:t>
      </w:r>
      <w:r w:rsidRPr="00DC7931">
        <w:t xml:space="preserve">nergie dle požadavků </w:t>
      </w:r>
      <w:r w:rsidR="00582C37">
        <w:t>VÝROBNY</w:t>
      </w:r>
      <w:r w:rsidR="00781A00">
        <w:t xml:space="preserve"> v souladu s možnými plánovanými omezeními.</w:t>
      </w:r>
      <w:r w:rsidR="00E65B09" w:rsidRPr="00DC7931">
        <w:t xml:space="preserve"> </w:t>
      </w:r>
      <w:r w:rsidR="00403C98" w:rsidRPr="00DC7931">
        <w:t xml:space="preserve"> </w:t>
      </w:r>
      <w:r w:rsidR="00445904" w:rsidRPr="00DC7931">
        <w:t xml:space="preserve"> </w:t>
      </w:r>
    </w:p>
    <w:p w14:paraId="1FA9067E" w14:textId="373F77A1" w:rsidR="00445904" w:rsidRPr="00DC7931" w:rsidRDefault="00DD1F76" w:rsidP="00F879DA">
      <w:pPr>
        <w:pStyle w:val="TCBNormalni"/>
        <w:numPr>
          <w:ilvl w:val="0"/>
          <w:numId w:val="19"/>
        </w:numPr>
      </w:pPr>
      <w:r w:rsidRPr="00DC7931">
        <w:t xml:space="preserve">V maximální míře se musí </w:t>
      </w:r>
      <w:r w:rsidR="00133540" w:rsidRPr="00DC7931">
        <w:t xml:space="preserve">vyhnout omezení dopadů do výroby </w:t>
      </w:r>
      <w:r w:rsidR="00903160">
        <w:t>Škoda Auto</w:t>
      </w:r>
      <w:r w:rsidR="00133540" w:rsidRPr="00DC7931">
        <w:t>.</w:t>
      </w:r>
    </w:p>
    <w:p w14:paraId="06CB3A23" w14:textId="35A4667B" w:rsidR="00EA7CD5" w:rsidRDefault="00BE051F" w:rsidP="00BE051F">
      <w:pPr>
        <w:pStyle w:val="TCBNormalni"/>
      </w:pPr>
      <w:r w:rsidRPr="00DC7931">
        <w:t xml:space="preserve">To se týká </w:t>
      </w:r>
      <w:r w:rsidR="00DC7931">
        <w:t xml:space="preserve">mimo jiné </w:t>
      </w:r>
      <w:r w:rsidRPr="00DC7931">
        <w:t xml:space="preserve">období přepojování </w:t>
      </w:r>
      <w:r w:rsidR="00565FFE" w:rsidRPr="00DC7931">
        <w:t>provizorií,</w:t>
      </w:r>
      <w:r w:rsidRPr="00DC7931">
        <w:t xml:space="preserve"> oddělování či odpojování </w:t>
      </w:r>
      <w:r w:rsidR="00565FFE" w:rsidRPr="00DC7931">
        <w:t>systémů a</w:t>
      </w:r>
      <w:r w:rsidRPr="00DC7931">
        <w:t xml:space="preserve"> jejich následné připojení bez předchozí dohody s </w:t>
      </w:r>
      <w:r w:rsidR="00A80591" w:rsidRPr="00DC7931">
        <w:t>OBJEDNATELEM.</w:t>
      </w:r>
      <w:r w:rsidR="000002C8" w:rsidRPr="00DC7931">
        <w:t xml:space="preserve"> </w:t>
      </w:r>
    </w:p>
    <w:p w14:paraId="41744BA0" w14:textId="2C19282F" w:rsidR="00EA7CD5" w:rsidRPr="00FA2F00" w:rsidRDefault="009D1D94" w:rsidP="0028710D">
      <w:pPr>
        <w:pStyle w:val="TCBNadpis4"/>
      </w:pPr>
      <w:bookmarkStart w:id="26" w:name="_Toc142307536"/>
      <w:r w:rsidRPr="00FA2F00">
        <w:lastRenderedPageBreak/>
        <w:t>Etapizace výstavby</w:t>
      </w:r>
      <w:bookmarkEnd w:id="26"/>
    </w:p>
    <w:p w14:paraId="505B665C" w14:textId="2CC7A026" w:rsidR="00C61C64" w:rsidRDefault="009D1D94" w:rsidP="00BE051F">
      <w:pPr>
        <w:pStyle w:val="TCBNormalni"/>
      </w:pPr>
      <w:r>
        <w:t xml:space="preserve">OBJEDNATEL požaduje v 1.etapě výstavby současnou výstavbu </w:t>
      </w:r>
      <w:r w:rsidR="00FF3FD3">
        <w:t xml:space="preserve">nového </w:t>
      </w:r>
      <w:r>
        <w:t>kotl</w:t>
      </w:r>
      <w:r w:rsidR="00FF3FD3">
        <w:t>e</w:t>
      </w:r>
      <w:r>
        <w:t xml:space="preserve"> K20</w:t>
      </w:r>
      <w:r w:rsidR="00FF3FD3">
        <w:t>, modernizac</w:t>
      </w:r>
      <w:r w:rsidR="00855B74">
        <w:t>e</w:t>
      </w:r>
      <w:r w:rsidR="00FF3FD3">
        <w:t xml:space="preserve"> kotle K80 za provozu </w:t>
      </w:r>
      <w:r w:rsidR="00CE4B92">
        <w:t>k</w:t>
      </w:r>
      <w:r w:rsidR="00FF3FD3">
        <w:t>otle K90 n</w:t>
      </w:r>
      <w:r w:rsidR="0017198B">
        <w:t>a</w:t>
      </w:r>
      <w:r w:rsidR="00FF3FD3">
        <w:t xml:space="preserve"> uhlí</w:t>
      </w:r>
      <w:r w:rsidR="00F879DA">
        <w:t xml:space="preserve"> a rostlinné </w:t>
      </w:r>
      <w:proofErr w:type="spellStart"/>
      <w:r w:rsidR="00F879DA">
        <w:t>peletky</w:t>
      </w:r>
      <w:proofErr w:type="spellEnd"/>
      <w:r w:rsidR="0054265F">
        <w:t>,</w:t>
      </w:r>
      <w:r w:rsidR="00E1765A">
        <w:t xml:space="preserve"> včetně spalování technologického paliva</w:t>
      </w:r>
      <w:r w:rsidR="0017198B">
        <w:t>, výstavbu vykládky, přijmu</w:t>
      </w:r>
      <w:r w:rsidR="00BD1DD1">
        <w:t>,</w:t>
      </w:r>
      <w:r w:rsidR="0017198B">
        <w:t xml:space="preserve"> dopr</w:t>
      </w:r>
      <w:r w:rsidR="00BD1DD1">
        <w:t>a</w:t>
      </w:r>
      <w:r w:rsidR="0017198B">
        <w:t>v</w:t>
      </w:r>
      <w:r w:rsidR="00BD1DD1">
        <w:t>y</w:t>
      </w:r>
      <w:r w:rsidR="0017198B">
        <w:t xml:space="preserve"> a skladování dřevní štěpky včetně prodl</w:t>
      </w:r>
      <w:r w:rsidR="00BD1DD1">
        <w:t>ou</w:t>
      </w:r>
      <w:r w:rsidR="0017198B">
        <w:t>žení železniční vlečky</w:t>
      </w:r>
      <w:r w:rsidR="00BD1DD1">
        <w:t>, výstavbu SHZ</w:t>
      </w:r>
      <w:r w:rsidR="00C61C64">
        <w:t>.</w:t>
      </w:r>
    </w:p>
    <w:p w14:paraId="3514FB79" w14:textId="2FD57845" w:rsidR="007660F1" w:rsidRDefault="007660F1" w:rsidP="00BE051F">
      <w:pPr>
        <w:pStyle w:val="TCBNormalni"/>
      </w:pPr>
      <w:r>
        <w:t>Po etapě najíždění a vyzkoušení kotlů K20 i K80 a palivového hospodářství dřevní štěpky, za současného spolehlivého provozu K90 na uhlí</w:t>
      </w:r>
      <w:r w:rsidR="00270C63">
        <w:t xml:space="preserve"> bude násled</w:t>
      </w:r>
      <w:r w:rsidR="006F3DEA">
        <w:t xml:space="preserve">ovat 2. </w:t>
      </w:r>
      <w:r w:rsidR="00270C63">
        <w:t xml:space="preserve">závěrečná etapa. </w:t>
      </w:r>
      <w:r>
        <w:t xml:space="preserve"> </w:t>
      </w:r>
    </w:p>
    <w:p w14:paraId="2483D48A" w14:textId="48D33045" w:rsidR="00EA7CD5" w:rsidRDefault="00C61C64" w:rsidP="00BE051F">
      <w:pPr>
        <w:pStyle w:val="TCBNormalni"/>
      </w:pPr>
      <w:r>
        <w:t>V 2.etapě</w:t>
      </w:r>
      <w:r w:rsidR="005405DE">
        <w:t xml:space="preserve"> </w:t>
      </w:r>
      <w:r w:rsidR="00B67523">
        <w:t xml:space="preserve">budou </w:t>
      </w:r>
      <w:r w:rsidR="005405DE">
        <w:t>proveden</w:t>
      </w:r>
      <w:r w:rsidR="00481A65">
        <w:t>y:</w:t>
      </w:r>
      <w:r w:rsidR="005405DE">
        <w:t xml:space="preserve"> modernizace kotle K90 za současného provozu </w:t>
      </w:r>
      <w:r w:rsidR="00270C63">
        <w:t>K20</w:t>
      </w:r>
      <w:r w:rsidR="00820408">
        <w:t xml:space="preserve"> </w:t>
      </w:r>
      <w:r w:rsidR="006A0FEA">
        <w:t xml:space="preserve">na dřevní štěpku </w:t>
      </w:r>
      <w:r w:rsidR="00270C63">
        <w:t>a</w:t>
      </w:r>
      <w:r w:rsidR="00253C62">
        <w:t> </w:t>
      </w:r>
      <w:r w:rsidR="00270C63">
        <w:t>K80 n</w:t>
      </w:r>
      <w:r w:rsidR="004A0CCC">
        <w:t>a</w:t>
      </w:r>
      <w:r w:rsidR="00270C63">
        <w:t xml:space="preserve"> dřevní štěpk</w:t>
      </w:r>
      <w:r w:rsidR="004A0CCC">
        <w:t>u</w:t>
      </w:r>
      <w:r w:rsidR="00034C15">
        <w:t>,</w:t>
      </w:r>
      <w:r w:rsidR="00563BFC">
        <w:t xml:space="preserve"> rostlinné </w:t>
      </w:r>
      <w:proofErr w:type="spellStart"/>
      <w:r w:rsidR="00563BFC">
        <w:t>peletky</w:t>
      </w:r>
      <w:proofErr w:type="spellEnd"/>
      <w:r w:rsidR="00F3047B">
        <w:t xml:space="preserve"> a technologické palivo</w:t>
      </w:r>
      <w:r w:rsidR="00270C63">
        <w:t xml:space="preserve">, </w:t>
      </w:r>
      <w:r w:rsidR="00481A65">
        <w:t xml:space="preserve">dále </w:t>
      </w:r>
      <w:r w:rsidR="009E4816">
        <w:t>poslední demontá</w:t>
      </w:r>
      <w:r w:rsidR="004A0CCC">
        <w:t>ž</w:t>
      </w:r>
      <w:r w:rsidR="009E4816">
        <w:t>e a demolice vč. likvidace uhe</w:t>
      </w:r>
      <w:r w:rsidR="004A0CCC">
        <w:t>l</w:t>
      </w:r>
      <w:r w:rsidR="009E4816">
        <w:t>né skl</w:t>
      </w:r>
      <w:r w:rsidR="004A0CCC">
        <w:t>á</w:t>
      </w:r>
      <w:r w:rsidR="009E4816">
        <w:t>dky s následně zkušebním provozem celého DÍLA</w:t>
      </w:r>
      <w:r w:rsidR="00820408">
        <w:t xml:space="preserve">. </w:t>
      </w:r>
    </w:p>
    <w:p w14:paraId="3ED4440F" w14:textId="5A7201D5" w:rsidR="005C77D0" w:rsidRDefault="00313A7C" w:rsidP="00F879DA">
      <w:pPr>
        <w:pStyle w:val="TCBNadpis4"/>
      </w:pPr>
      <w:bookmarkStart w:id="27" w:name="_Toc142307537"/>
      <w:r w:rsidRPr="008A4DC0">
        <w:t>Problema</w:t>
      </w:r>
      <w:r w:rsidR="008A4DC0" w:rsidRPr="008A4DC0">
        <w:t>t</w:t>
      </w:r>
      <w:r w:rsidRPr="008A4DC0">
        <w:t>ika sou</w:t>
      </w:r>
      <w:r w:rsidR="008A4DC0" w:rsidRPr="008A4DC0">
        <w:t>běžné modernizace a provozu K80/90</w:t>
      </w:r>
      <w:bookmarkEnd w:id="27"/>
    </w:p>
    <w:p w14:paraId="3E881827" w14:textId="4914ED3B" w:rsidR="005C77D0" w:rsidRPr="00A93102" w:rsidRDefault="005C77D0" w:rsidP="001B5AF4">
      <w:pPr>
        <w:pStyle w:val="TCBNormalni"/>
      </w:pPr>
      <w:r w:rsidRPr="00AD65EA">
        <w:t xml:space="preserve">Pro provoz upraveného kotle K80 a nového kotle K20 (1. etapa) musí </w:t>
      </w:r>
      <w:r w:rsidR="001B5AF4">
        <w:t xml:space="preserve">být </w:t>
      </w:r>
      <w:r w:rsidRPr="00AD65EA">
        <w:t xml:space="preserve">dokončena celé infrastruktura (prodloužení železniční vlečky, </w:t>
      </w:r>
      <w:proofErr w:type="spellStart"/>
      <w:r w:rsidRPr="00AD65EA">
        <w:t>výklopna</w:t>
      </w:r>
      <w:proofErr w:type="spellEnd"/>
      <w:r w:rsidRPr="00AD65EA">
        <w:t xml:space="preserve">, přesuvna atd.) </w:t>
      </w:r>
    </w:p>
    <w:p w14:paraId="40759A61" w14:textId="0647088F" w:rsidR="001C602B" w:rsidRPr="008A4DC0" w:rsidRDefault="005C77D0" w:rsidP="007A776E">
      <w:pPr>
        <w:pStyle w:val="TCBNormalni"/>
      </w:pPr>
      <w:proofErr w:type="spellStart"/>
      <w:r w:rsidRPr="008C1809">
        <w:t>Retrofit</w:t>
      </w:r>
      <w:proofErr w:type="spellEnd"/>
      <w:r w:rsidRPr="008C1809">
        <w:t xml:space="preserve"> kotle K80 probíhá v období v 2. a 3. kalendářním čtvrtletí z důvodu nižších požadavků na dodávky tepla odběratelům. Pro spalování biomasy v kotli K80 musí být vedle infrastruktury (viz výše) dokončena i dopravní cesta mezi kotelnou K20 a kotelnou K80/90. U nové kotelny K20 musí být hotova dopravníková část př</w:t>
      </w:r>
      <w:r w:rsidRPr="001B5AF4">
        <w:t xml:space="preserve">ed zahájením provozu kotle K80.  </w:t>
      </w:r>
    </w:p>
    <w:p w14:paraId="03DDA294" w14:textId="0E6388C5" w:rsidR="00DF7A25" w:rsidRPr="00DF7A25" w:rsidRDefault="00DF7A25" w:rsidP="00DF7A25">
      <w:pPr>
        <w:pStyle w:val="TCBNormalni"/>
      </w:pPr>
      <w:r w:rsidRPr="00DF7A25">
        <w:t xml:space="preserve">Popis </w:t>
      </w:r>
      <w:r w:rsidR="00FD3AD8">
        <w:t xml:space="preserve">předpokládaných </w:t>
      </w:r>
      <w:r w:rsidRPr="00DF7A25">
        <w:t>opatření pro rekonstrukci K80 a souběžný provoz K90</w:t>
      </w:r>
      <w:r w:rsidR="00467E60">
        <w:t xml:space="preserve"> z hlediska maximálních rozměrových omezení vč. </w:t>
      </w:r>
      <w:r w:rsidR="00AD6170">
        <w:t xml:space="preserve">případné </w:t>
      </w:r>
      <w:r w:rsidR="00467E60">
        <w:t>střešní n</w:t>
      </w:r>
      <w:r w:rsidR="008901E1">
        <w:t>a</w:t>
      </w:r>
      <w:r w:rsidR="00467E60">
        <w:t>dsta</w:t>
      </w:r>
      <w:r w:rsidR="00AD6170">
        <w:t>v</w:t>
      </w:r>
      <w:r w:rsidR="00467E60">
        <w:t>by</w:t>
      </w:r>
      <w:r w:rsidR="00811B94">
        <w:t xml:space="preserve">: </w:t>
      </w:r>
    </w:p>
    <w:p w14:paraId="68B2B59F" w14:textId="371A2F9F" w:rsidR="00DF7A25" w:rsidRPr="00DF7A25" w:rsidRDefault="00F3047B" w:rsidP="0076306C">
      <w:pPr>
        <w:pStyle w:val="TCBNormalni"/>
        <w:numPr>
          <w:ilvl w:val="0"/>
          <w:numId w:val="21"/>
        </w:numPr>
      </w:pPr>
      <w:r>
        <w:t>Do prostoru</w:t>
      </w:r>
      <w:r w:rsidR="00DF7A25" w:rsidRPr="00DF7A25">
        <w:t xml:space="preserve"> kotelny</w:t>
      </w:r>
      <w:r w:rsidR="005F79ED">
        <w:t xml:space="preserve"> </w:t>
      </w:r>
      <w:r>
        <w:t>E1A</w:t>
      </w:r>
      <w:r w:rsidR="00DF7A25" w:rsidRPr="00DF7A25">
        <w:t xml:space="preserve"> budou instalovány nové transportní dopravníky DŠ s označením PD13b a</w:t>
      </w:r>
      <w:r w:rsidR="0076306C">
        <w:t> </w:t>
      </w:r>
      <w:r w:rsidR="00DF7A25" w:rsidRPr="00DF7A25">
        <w:t>PD13c. </w:t>
      </w:r>
    </w:p>
    <w:p w14:paraId="2AEE74E5" w14:textId="77777777" w:rsidR="00DF7A25" w:rsidRPr="00DF7A25" w:rsidRDefault="00DF7A25" w:rsidP="0076306C">
      <w:pPr>
        <w:pStyle w:val="TCBNormalni"/>
        <w:numPr>
          <w:ilvl w:val="0"/>
          <w:numId w:val="21"/>
        </w:numPr>
      </w:pPr>
      <w:r w:rsidRPr="00DF7A25">
        <w:t>Před demontáží zauhlování kotle K80 bude přesunut stávající zauhlovací pas nad zásobníky kotle K90 do pozice nad zadním zásobníkem a bude doplněn pluhem pro shazování uhlí do předního zásobníku. </w:t>
      </w:r>
    </w:p>
    <w:p w14:paraId="190750C2" w14:textId="4466AB7A" w:rsidR="00DF7A25" w:rsidRPr="00DF7A25" w:rsidRDefault="00DF7A25" w:rsidP="0076306C">
      <w:pPr>
        <w:pStyle w:val="TCBNormalni"/>
        <w:numPr>
          <w:ilvl w:val="0"/>
          <w:numId w:val="21"/>
        </w:numPr>
      </w:pPr>
      <w:r w:rsidRPr="00DF7A25">
        <w:t>Následuje demolice uhelného zásobníku kotle K80 a </w:t>
      </w:r>
      <w:r w:rsidR="00D03A04">
        <w:t>m</w:t>
      </w:r>
      <w:r w:rsidRPr="00DF7A25">
        <w:t>ontáž dvou kruhových zásobníků pro kotel K80 s vyhrnovacím zařízením. </w:t>
      </w:r>
    </w:p>
    <w:p w14:paraId="48B1D49A" w14:textId="281BECA8" w:rsidR="00DF7A25" w:rsidRPr="00DF7A25" w:rsidRDefault="00DF7A25" w:rsidP="0076306C">
      <w:pPr>
        <w:pStyle w:val="TCBNormalni"/>
        <w:numPr>
          <w:ilvl w:val="0"/>
          <w:numId w:val="21"/>
        </w:numPr>
      </w:pPr>
      <w:r w:rsidRPr="00DF7A25">
        <w:t>Z dopravníku PD13b bude provizorně provedena svodka k podlaží +36</w:t>
      </w:r>
      <w:r w:rsidR="00D03A04">
        <w:t xml:space="preserve"> </w:t>
      </w:r>
      <w:r w:rsidRPr="00DF7A25">
        <w:t xml:space="preserve">m a bude zaústěna do </w:t>
      </w:r>
      <w:r w:rsidR="004C0EBC">
        <w:t xml:space="preserve">prvního </w:t>
      </w:r>
      <w:r w:rsidRPr="00DF7A25">
        <w:t>nově instalovaného zásobníku dřevní štěpky kotle K80. Svodka bude provedena tak aby nezasahovala do stávající dopravy uhlí a bude zaústěna do místa koleje PD16a. Na této koleji pak může být instalován provizorní dopravník do druhého zásobníku dřevní štěpky. </w:t>
      </w:r>
    </w:p>
    <w:p w14:paraId="693605A3" w14:textId="66117DC7" w:rsidR="00DF7A25" w:rsidRPr="00DF7A25" w:rsidRDefault="00DF7A25" w:rsidP="0076306C">
      <w:pPr>
        <w:pStyle w:val="TCBNormalni"/>
        <w:numPr>
          <w:ilvl w:val="0"/>
          <w:numId w:val="21"/>
        </w:numPr>
      </w:pPr>
      <w:r w:rsidRPr="00DF7A25">
        <w:t xml:space="preserve">V tomto provedení </w:t>
      </w:r>
      <w:r w:rsidR="00C242BC">
        <w:t xml:space="preserve">plnění palivem </w:t>
      </w:r>
      <w:r w:rsidRPr="00DF7A25">
        <w:t xml:space="preserve">může být zkušebně </w:t>
      </w:r>
      <w:r w:rsidR="00C242BC">
        <w:t xml:space="preserve">po </w:t>
      </w:r>
      <w:proofErr w:type="spellStart"/>
      <w:r w:rsidR="00C242BC">
        <w:t>retrofitu</w:t>
      </w:r>
      <w:proofErr w:type="spellEnd"/>
      <w:r w:rsidR="00C242BC">
        <w:t xml:space="preserve"> </w:t>
      </w:r>
      <w:r w:rsidRPr="00DF7A25">
        <w:t>zprovozněn kotel K80. </w:t>
      </w:r>
    </w:p>
    <w:p w14:paraId="58833B6B" w14:textId="77777777" w:rsidR="00DF7A25" w:rsidRPr="00DF7A25" w:rsidRDefault="00DF7A25" w:rsidP="0076306C">
      <w:pPr>
        <w:pStyle w:val="TCBNormalni"/>
        <w:numPr>
          <w:ilvl w:val="0"/>
          <w:numId w:val="21"/>
        </w:numPr>
      </w:pPr>
      <w:r w:rsidRPr="00DF7A25">
        <w:t>Po zprovoznění kotle K80 budou započaty demolice zauhlování a stávajících uhelných zásobníků kotle K90. </w:t>
      </w:r>
    </w:p>
    <w:p w14:paraId="3D8B65B7" w14:textId="77777777" w:rsidR="00DF7A25" w:rsidRPr="00DF7A25" w:rsidRDefault="00DF7A25" w:rsidP="0076306C">
      <w:pPr>
        <w:pStyle w:val="TCBNormalni"/>
        <w:numPr>
          <w:ilvl w:val="0"/>
          <w:numId w:val="21"/>
        </w:numPr>
      </w:pPr>
      <w:r w:rsidRPr="00DF7A25">
        <w:t>Po následné instalaci dvou nových kruhových zásobníků dřevní štěpky pro kotel K90 může být instalován dopravník s plošinou PD15b a dopravník PD16b, včetně napojení na dopravník PD13c. </w:t>
      </w:r>
    </w:p>
    <w:p w14:paraId="27CA0243" w14:textId="5F575920" w:rsidR="00DF7A25" w:rsidRPr="00DF7A25" w:rsidRDefault="00DF7A25" w:rsidP="0076306C">
      <w:pPr>
        <w:pStyle w:val="TCBNormalni"/>
        <w:numPr>
          <w:ilvl w:val="0"/>
          <w:numId w:val="21"/>
        </w:numPr>
      </w:pPr>
      <w:r w:rsidRPr="00DF7A25">
        <w:t xml:space="preserve">Po instalaci dopravníků budou provedeny zkoušky na </w:t>
      </w:r>
      <w:r w:rsidR="00482CEB">
        <w:t xml:space="preserve">modernizovaném </w:t>
      </w:r>
      <w:r w:rsidRPr="00DF7A25">
        <w:t>kotli K90.  </w:t>
      </w:r>
    </w:p>
    <w:p w14:paraId="0BC58395" w14:textId="77777777" w:rsidR="00DF7A25" w:rsidRPr="00DF7A25" w:rsidRDefault="00DF7A25" w:rsidP="0076306C">
      <w:pPr>
        <w:pStyle w:val="TCBNormalni"/>
        <w:numPr>
          <w:ilvl w:val="0"/>
          <w:numId w:val="21"/>
        </w:numPr>
      </w:pPr>
      <w:r w:rsidRPr="00DF7A25">
        <w:t>Po demontáži provizorního svodu z PD13b a provizorního dopravníku na koleji dopravníku PD16a bude doinstalován dopravník PD16a společně s plošinou a druhým dopravníkem PD15a. </w:t>
      </w:r>
    </w:p>
    <w:p w14:paraId="3355AA4B" w14:textId="77777777" w:rsidR="00DF7A25" w:rsidRPr="00DF7A25" w:rsidRDefault="00DF7A25" w:rsidP="0076306C">
      <w:pPr>
        <w:pStyle w:val="TCBNormalni"/>
        <w:numPr>
          <w:ilvl w:val="0"/>
          <w:numId w:val="21"/>
        </w:numPr>
      </w:pPr>
      <w:r w:rsidRPr="00DF7A25">
        <w:t>Dopravník PD16a a PD16b budou instalovány otvorem z boku kotelny K90. </w:t>
      </w:r>
    </w:p>
    <w:p w14:paraId="571AC11B" w14:textId="5252BC47" w:rsidR="00EA7CD5" w:rsidRDefault="00FE5462" w:rsidP="00BE051F">
      <w:pPr>
        <w:pStyle w:val="TCBNormalni"/>
      </w:pPr>
      <w:r>
        <w:t>ZHOTOVITEL OB</w:t>
      </w:r>
      <w:r w:rsidR="00B61A9F">
        <w:t xml:space="preserve"> </w:t>
      </w:r>
      <w:r>
        <w:t xml:space="preserve">2 provede vzájemnou koordinaci </w:t>
      </w:r>
      <w:r w:rsidR="00624E41">
        <w:t>postupů se ZHOTOVITELE OB</w:t>
      </w:r>
      <w:r w:rsidR="00B61A9F">
        <w:t xml:space="preserve"> </w:t>
      </w:r>
      <w:r w:rsidR="00624E41">
        <w:t>1.</w:t>
      </w:r>
    </w:p>
    <w:p w14:paraId="50DA37DC" w14:textId="77777777" w:rsidR="00F3047B" w:rsidRDefault="00F3047B" w:rsidP="000002C8">
      <w:pPr>
        <w:pStyle w:val="TCBNormalni"/>
      </w:pPr>
    </w:p>
    <w:p w14:paraId="1ACCBFD2" w14:textId="25381AA2" w:rsidR="00F3047B" w:rsidRPr="008901E1" w:rsidRDefault="00F3047B" w:rsidP="000002C8">
      <w:pPr>
        <w:pStyle w:val="TCBNormalni"/>
        <w:rPr>
          <w:b/>
          <w:bCs/>
        </w:rPr>
      </w:pPr>
      <w:r w:rsidRPr="008901E1">
        <w:rPr>
          <w:b/>
          <w:bCs/>
        </w:rPr>
        <w:lastRenderedPageBreak/>
        <w:t xml:space="preserve">Čistící operace </w:t>
      </w:r>
    </w:p>
    <w:p w14:paraId="497E8AEF" w14:textId="5042340F" w:rsidR="00F3047B" w:rsidRDefault="00F3047B" w:rsidP="000002C8">
      <w:pPr>
        <w:pStyle w:val="TCBNormalni"/>
      </w:pPr>
      <w:r>
        <w:t xml:space="preserve">Čistící operace kotlů </w:t>
      </w:r>
      <w:r w:rsidR="004276B8">
        <w:t xml:space="preserve">a potrubí </w:t>
      </w:r>
      <w:r>
        <w:t>musí být provedeny tak aby nenarušovaly provoz ostatních částí JEDNOTKY</w:t>
      </w:r>
      <w:r w:rsidR="00534BD3">
        <w:t xml:space="preserve">, </w:t>
      </w:r>
      <w:r>
        <w:t>resp. VÝROBNY.</w:t>
      </w:r>
    </w:p>
    <w:p w14:paraId="2D377455" w14:textId="770D04D0" w:rsidR="000002C8" w:rsidRPr="00741198" w:rsidRDefault="000002C8" w:rsidP="000002C8">
      <w:pPr>
        <w:pStyle w:val="TCBNormalni"/>
        <w:rPr>
          <w:color w:val="C00000"/>
        </w:rPr>
      </w:pPr>
      <w:r w:rsidRPr="00DC7931">
        <w:t>Další podmínky výstavby viz. příloha A 9.</w:t>
      </w:r>
    </w:p>
    <w:p w14:paraId="75B71321" w14:textId="759091F2" w:rsidR="00340B03" w:rsidRDefault="00C9032D" w:rsidP="00D65FAF">
      <w:pPr>
        <w:pStyle w:val="TCBNadpis1"/>
      </w:pPr>
      <w:bookmarkStart w:id="28" w:name="_Toc142307538"/>
      <w:r w:rsidRPr="0061736F">
        <w:t>POŽADAVKY NA ŽIVOTNOST A SPOLEHLIVOST</w:t>
      </w:r>
      <w:bookmarkEnd w:id="28"/>
      <w:r w:rsidRPr="0061736F">
        <w:t xml:space="preserve"> </w:t>
      </w:r>
    </w:p>
    <w:p w14:paraId="2C79365E" w14:textId="53307D13" w:rsidR="001B7434" w:rsidRDefault="001B7434" w:rsidP="00D65FAF">
      <w:pPr>
        <w:pStyle w:val="TCBNadpis2"/>
      </w:pPr>
      <w:bookmarkStart w:id="29" w:name="_Toc142307539"/>
      <w:r>
        <w:t>Životnost DÍLA OB 2</w:t>
      </w:r>
      <w:bookmarkEnd w:id="29"/>
    </w:p>
    <w:p w14:paraId="5608A131" w14:textId="23BA959B" w:rsidR="00C32106" w:rsidRPr="00863250" w:rsidRDefault="00C32106" w:rsidP="00C32106">
      <w:pPr>
        <w:pStyle w:val="TCBNormalni"/>
      </w:pPr>
      <w:r w:rsidRPr="00863250">
        <w:t xml:space="preserve">Veškerá </w:t>
      </w:r>
      <w:r w:rsidR="006A61BF" w:rsidRPr="00863250">
        <w:t xml:space="preserve">nová </w:t>
      </w:r>
      <w:r w:rsidRPr="00863250">
        <w:t>zařízení a součásti JEDNOTKY musí mít návrhovou životnost minimálně 200</w:t>
      </w:r>
      <w:r w:rsidR="00363B75" w:rsidRPr="00863250">
        <w:t xml:space="preserve"> </w:t>
      </w:r>
      <w:r w:rsidRPr="00863250">
        <w:t>000 provozních hodin, nejméně však 25 let s možností prodloužení až na 40 let.</w:t>
      </w:r>
    </w:p>
    <w:p w14:paraId="127854A9" w14:textId="2EA091A0" w:rsidR="00217877" w:rsidRPr="00863250" w:rsidRDefault="006A61BF" w:rsidP="00C32106">
      <w:pPr>
        <w:pStyle w:val="TCBNormalni"/>
      </w:pPr>
      <w:bookmarkStart w:id="30" w:name="_Hlk132729695"/>
      <w:r w:rsidRPr="00863250">
        <w:t>Stávající systémy</w:t>
      </w:r>
      <w:r w:rsidR="00DB03FE" w:rsidRPr="00863250">
        <w:t>,</w:t>
      </w:r>
      <w:r w:rsidR="0012261C">
        <w:t xml:space="preserve"> které bude ZHOTOVITEL uvažovat pro další provoz,</w:t>
      </w:r>
      <w:r w:rsidR="00DB03FE" w:rsidRPr="00863250">
        <w:t xml:space="preserve"> budou vyhodnoceny </w:t>
      </w:r>
      <w:r w:rsidR="003B7CD3">
        <w:t xml:space="preserve">ZHOTOVITELEM </w:t>
      </w:r>
      <w:r w:rsidR="00DB03FE" w:rsidRPr="00863250">
        <w:t xml:space="preserve">z hlediska </w:t>
      </w:r>
      <w:r w:rsidR="00217877" w:rsidRPr="00863250">
        <w:t>a</w:t>
      </w:r>
      <w:r w:rsidR="00DB03FE" w:rsidRPr="00863250">
        <w:t xml:space="preserve">ktuálního stavu </w:t>
      </w:r>
      <w:r w:rsidR="00217877" w:rsidRPr="00863250">
        <w:t>s požadavkem na budoucí provoz minimálně 15 let. V případě, kratší životnosti budou vyměněny v závislo</w:t>
      </w:r>
      <w:r w:rsidR="00863250" w:rsidRPr="00863250">
        <w:t>s</w:t>
      </w:r>
      <w:r w:rsidR="00217877" w:rsidRPr="00863250">
        <w:t xml:space="preserve">ti na </w:t>
      </w:r>
      <w:r w:rsidR="00863250" w:rsidRPr="00863250">
        <w:t>požadavku OBJEDNATELE</w:t>
      </w:r>
      <w:r w:rsidR="00A27EDB">
        <w:t xml:space="preserve">, nebude-li se jednat </w:t>
      </w:r>
      <w:r w:rsidR="00BC3D6D">
        <w:t xml:space="preserve">o části </w:t>
      </w:r>
      <w:r w:rsidR="00A27EDB">
        <w:t>s</w:t>
      </w:r>
      <w:r w:rsidR="001B7434">
        <w:t> </w:t>
      </w:r>
      <w:r w:rsidR="00A27EDB">
        <w:t>p</w:t>
      </w:r>
      <w:r w:rsidR="001B7434">
        <w:t xml:space="preserve">lánovanou životností kratší. </w:t>
      </w:r>
    </w:p>
    <w:bookmarkEnd w:id="30"/>
    <w:p w14:paraId="241CC6D8" w14:textId="09EE624A" w:rsidR="00C32106" w:rsidRPr="00863250" w:rsidRDefault="00C32106" w:rsidP="00C32106">
      <w:pPr>
        <w:pStyle w:val="TCBNormalni"/>
      </w:pPr>
      <w:r w:rsidRPr="00863250">
        <w:t>Stavební objekty, instalace a systémy služeb budov musí splňovat kritéria projektované životnosti 70</w:t>
      </w:r>
      <w:r w:rsidR="00AF767F">
        <w:t> </w:t>
      </w:r>
      <w:r w:rsidRPr="00863250">
        <w:t>let.</w:t>
      </w:r>
    </w:p>
    <w:p w14:paraId="007C5A54" w14:textId="070CB9CD" w:rsidR="00C32106" w:rsidRPr="00863250" w:rsidRDefault="00C32106" w:rsidP="00BA1400">
      <w:pPr>
        <w:pStyle w:val="TCBNormalni"/>
      </w:pPr>
      <w:r w:rsidRPr="00863250">
        <w:t xml:space="preserve">Projektový </w:t>
      </w:r>
      <w:r w:rsidR="004970F7">
        <w:t>n</w:t>
      </w:r>
      <w:r w:rsidRPr="00863250">
        <w:t xml:space="preserve">ávrh JEDNOTKY musí zajistit, aby změny zatížení a cyklický provoz </w:t>
      </w:r>
      <w:r w:rsidR="0066385C" w:rsidRPr="00863250">
        <w:t>nezapříčinil překročení</w:t>
      </w:r>
      <w:r w:rsidRPr="00863250">
        <w:t xml:space="preserve"> přípustných mezní hodnoty zajišťující projektovou </w:t>
      </w:r>
      <w:r w:rsidR="0066385C" w:rsidRPr="00863250">
        <w:t>životnost</w:t>
      </w:r>
      <w:r w:rsidR="00AF767F">
        <w:t>,</w:t>
      </w:r>
      <w:r w:rsidR="0066385C" w:rsidRPr="00863250">
        <w:t xml:space="preserve"> a</w:t>
      </w:r>
      <w:r w:rsidRPr="00863250">
        <w:t xml:space="preserve"> to za podmín</w:t>
      </w:r>
      <w:r w:rsidR="00BA1400" w:rsidRPr="00863250">
        <w:t xml:space="preserve">ky, že </w:t>
      </w:r>
      <w:r w:rsidR="00C30EA6" w:rsidRPr="00863250">
        <w:t xml:space="preserve">ZHOTOVITEL vezme </w:t>
      </w:r>
      <w:r w:rsidR="00451749" w:rsidRPr="00863250">
        <w:t>v</w:t>
      </w:r>
      <w:r w:rsidRPr="00863250">
        <w:t xml:space="preserve"> úvahu následující podmínky související se spuštěním / vypnutím a změnou zátěže během doby životnosti:</w:t>
      </w:r>
    </w:p>
    <w:p w14:paraId="735654BF" w14:textId="658B42F9" w:rsidR="00C32106" w:rsidRPr="00491452" w:rsidRDefault="00C04E29" w:rsidP="00C32106">
      <w:pPr>
        <w:pStyle w:val="TCBNormalni"/>
      </w:pPr>
      <w:r w:rsidRPr="00491452">
        <w:t>Počet r</w:t>
      </w:r>
      <w:r w:rsidR="00C32106" w:rsidRPr="00491452">
        <w:t>oční</w:t>
      </w:r>
      <w:r w:rsidRPr="00491452">
        <w:t>ch</w:t>
      </w:r>
      <w:r w:rsidR="00C32106" w:rsidRPr="00491452">
        <w:t xml:space="preserve"> studen</w:t>
      </w:r>
      <w:r w:rsidRPr="00491452">
        <w:t xml:space="preserve">ých </w:t>
      </w:r>
      <w:proofErr w:type="gramStart"/>
      <w:r w:rsidR="0066385C" w:rsidRPr="00491452">
        <w:t>startů</w:t>
      </w:r>
      <w:r w:rsidR="00DA488E">
        <w:t>- platí</w:t>
      </w:r>
      <w:proofErr w:type="gramEnd"/>
      <w:r w:rsidR="00DA488E">
        <w:t xml:space="preserve"> pro každý kotel</w:t>
      </w:r>
      <w:r w:rsidR="0066385C" w:rsidRPr="00491452">
        <w:t xml:space="preserve">: </w:t>
      </w:r>
      <w:r w:rsidR="0066385C" w:rsidRPr="00491452">
        <w:tab/>
      </w:r>
      <w:r w:rsidR="00DA488E">
        <w:tab/>
      </w:r>
      <w:r w:rsidR="00DC0DE3" w:rsidRPr="00491452">
        <w:t>4</w:t>
      </w:r>
    </w:p>
    <w:p w14:paraId="51ACF667" w14:textId="09FB4313" w:rsidR="00C04E29" w:rsidRDefault="00C04E29" w:rsidP="00C32106">
      <w:pPr>
        <w:pStyle w:val="TCBNormalni"/>
      </w:pPr>
      <w:r w:rsidRPr="00491452">
        <w:t>Počet teplých s</w:t>
      </w:r>
      <w:r w:rsidR="006861F6" w:rsidRPr="00491452">
        <w:t>tartů</w:t>
      </w:r>
      <w:r w:rsidRPr="00491452">
        <w:t xml:space="preserve"> za </w:t>
      </w:r>
      <w:proofErr w:type="gramStart"/>
      <w:r w:rsidRPr="00491452">
        <w:t>rok</w:t>
      </w:r>
      <w:r w:rsidR="00DA488E">
        <w:t>- platí</w:t>
      </w:r>
      <w:proofErr w:type="gramEnd"/>
      <w:r w:rsidR="00DA488E">
        <w:t xml:space="preserve"> pro každý kotel</w:t>
      </w:r>
      <w:r w:rsidRPr="00491452">
        <w:t xml:space="preserve">: </w:t>
      </w:r>
      <w:r w:rsidRPr="00491452">
        <w:tab/>
      </w:r>
      <w:r w:rsidRPr="00491452">
        <w:tab/>
      </w:r>
      <w:r w:rsidR="00DC0DE3" w:rsidRPr="00491452">
        <w:t xml:space="preserve">12 </w:t>
      </w:r>
    </w:p>
    <w:p w14:paraId="038C8FBD" w14:textId="4A331436" w:rsidR="00057A6D" w:rsidRPr="00AF767F" w:rsidRDefault="00057A6D" w:rsidP="00D65FAF">
      <w:pPr>
        <w:pStyle w:val="TCBNadpis2"/>
        <w:rPr>
          <w:rFonts w:ascii="Tahoma" w:hAnsi="Tahoma" w:cs="Tahoma"/>
        </w:rPr>
      </w:pPr>
      <w:bookmarkStart w:id="31" w:name="_Toc142307540"/>
      <w:r>
        <w:t>Opravy</w:t>
      </w:r>
      <w:bookmarkEnd w:id="31"/>
    </w:p>
    <w:p w14:paraId="19DD5B6E" w14:textId="55AA5BB2" w:rsidR="00C32106" w:rsidRPr="00491452" w:rsidRDefault="00C04E29" w:rsidP="00C04E29">
      <w:pPr>
        <w:pStyle w:val="TCBNormalni"/>
        <w:rPr>
          <w:rFonts w:ascii="Tahoma" w:hAnsi="Tahoma" w:cs="Tahoma"/>
        </w:rPr>
      </w:pPr>
      <w:r w:rsidRPr="00491452">
        <w:rPr>
          <w:rFonts w:ascii="Tahoma" w:hAnsi="Tahoma" w:cs="Tahoma"/>
        </w:rPr>
        <w:t>P</w:t>
      </w:r>
      <w:r w:rsidR="00340B03" w:rsidRPr="00491452">
        <w:rPr>
          <w:rFonts w:ascii="Tahoma" w:hAnsi="Tahoma" w:cs="Tahoma"/>
        </w:rPr>
        <w:t>ožaduje</w:t>
      </w:r>
      <w:r w:rsidRPr="00491452">
        <w:rPr>
          <w:rFonts w:ascii="Tahoma" w:hAnsi="Tahoma" w:cs="Tahoma"/>
        </w:rPr>
        <w:t xml:space="preserve"> </w:t>
      </w:r>
      <w:r w:rsidR="0066385C" w:rsidRPr="00491452">
        <w:rPr>
          <w:rFonts w:ascii="Tahoma" w:hAnsi="Tahoma" w:cs="Tahoma"/>
        </w:rPr>
        <w:t>se,</w:t>
      </w:r>
      <w:r w:rsidR="00340B03" w:rsidRPr="00491452">
        <w:rPr>
          <w:rFonts w:ascii="Tahoma" w:hAnsi="Tahoma" w:cs="Tahoma"/>
        </w:rPr>
        <w:t xml:space="preserve"> aby:</w:t>
      </w:r>
    </w:p>
    <w:p w14:paraId="4911909E" w14:textId="52A4E84F" w:rsidR="00C04E29" w:rsidRDefault="00340B03" w:rsidP="004F0DC8">
      <w:pPr>
        <w:pStyle w:val="TCBNormalni"/>
        <w:numPr>
          <w:ilvl w:val="0"/>
          <w:numId w:val="12"/>
        </w:numPr>
        <w:rPr>
          <w:rFonts w:ascii="Tahoma" w:hAnsi="Tahoma" w:cs="Tahoma"/>
        </w:rPr>
      </w:pPr>
      <w:r w:rsidRPr="00491452">
        <w:rPr>
          <w:rFonts w:ascii="Tahoma" w:hAnsi="Tahoma" w:cs="Tahoma"/>
        </w:rPr>
        <w:t xml:space="preserve">Interval mezi BO byl </w:t>
      </w:r>
      <w:r w:rsidR="002C2C0D" w:rsidRPr="00491452">
        <w:rPr>
          <w:rFonts w:ascii="Tahoma" w:hAnsi="Tahoma" w:cs="Tahoma"/>
        </w:rPr>
        <w:t xml:space="preserve">minimálně </w:t>
      </w:r>
      <w:r w:rsidR="00C04E29" w:rsidRPr="00491452">
        <w:rPr>
          <w:rFonts w:ascii="Tahoma" w:hAnsi="Tahoma" w:cs="Tahoma"/>
        </w:rPr>
        <w:t>2</w:t>
      </w:r>
      <w:r w:rsidRPr="00491452">
        <w:rPr>
          <w:rFonts w:ascii="Tahoma" w:hAnsi="Tahoma" w:cs="Tahoma"/>
        </w:rPr>
        <w:t xml:space="preserve"> rok</w:t>
      </w:r>
      <w:r w:rsidR="00C04E29" w:rsidRPr="00491452">
        <w:rPr>
          <w:rFonts w:ascii="Tahoma" w:hAnsi="Tahoma" w:cs="Tahoma"/>
        </w:rPr>
        <w:t>y</w:t>
      </w:r>
      <w:r w:rsidRPr="00491452">
        <w:rPr>
          <w:rFonts w:ascii="Tahoma" w:hAnsi="Tahoma" w:cs="Tahoma"/>
        </w:rPr>
        <w:t>.</w:t>
      </w:r>
    </w:p>
    <w:p w14:paraId="6C07B87C" w14:textId="6ACCCE66" w:rsidR="0090293E" w:rsidRPr="008C1809" w:rsidRDefault="0090293E" w:rsidP="004F0DC8">
      <w:pPr>
        <w:pStyle w:val="TCBNormalni"/>
        <w:numPr>
          <w:ilvl w:val="0"/>
          <w:numId w:val="12"/>
        </w:numPr>
        <w:rPr>
          <w:rFonts w:ascii="Tahoma" w:hAnsi="Tahoma" w:cs="Tahoma"/>
        </w:rPr>
      </w:pPr>
      <w:r>
        <w:rPr>
          <w:rFonts w:ascii="Tahoma" w:hAnsi="Tahoma" w:cs="Tahoma"/>
        </w:rPr>
        <w:t xml:space="preserve">Rozsah běžné opravy definuje dodavatel zařízení. </w:t>
      </w:r>
    </w:p>
    <w:p w14:paraId="28F7F6E9" w14:textId="56E661BB" w:rsidR="00C04E29" w:rsidRPr="00C04E29" w:rsidRDefault="00C04E29" w:rsidP="00D65FAF">
      <w:pPr>
        <w:pStyle w:val="TCBNadpis2"/>
      </w:pPr>
      <w:bookmarkStart w:id="32" w:name="_Toc142307541"/>
      <w:r w:rsidRPr="00C04E29">
        <w:t xml:space="preserve">Životnosti </w:t>
      </w:r>
      <w:r w:rsidR="00D51508">
        <w:t xml:space="preserve">nových </w:t>
      </w:r>
      <w:r w:rsidRPr="00C04E29">
        <w:t>komponent</w:t>
      </w:r>
      <w:bookmarkEnd w:id="32"/>
    </w:p>
    <w:p w14:paraId="716BA9C0" w14:textId="40D83C8B" w:rsidR="00C04E29" w:rsidRPr="00DB3B4A" w:rsidRDefault="008443ED" w:rsidP="00BB3C2B">
      <w:pPr>
        <w:pStyle w:val="TCBNormalni"/>
      </w:pPr>
      <w:r w:rsidRPr="006D46C2">
        <w:t>Kvalita materiál</w:t>
      </w:r>
      <w:r w:rsidR="00AE7DE9">
        <w:t>ů</w:t>
      </w:r>
      <w:r w:rsidRPr="006D46C2">
        <w:t>, vnitřní protikorozní ochrany, konstrukční a projekční návrh a dimenzování jednotlivých zařízení a komponent, pokud je nutná po dohodě s objednatelem jejich výměna musí těmto požadavkům odpovídat.</w:t>
      </w:r>
    </w:p>
    <w:p w14:paraId="50CE068F" w14:textId="0718C42D" w:rsidR="00175FB3" w:rsidRPr="00442E0D" w:rsidRDefault="00175FB3" w:rsidP="002D16C6">
      <w:pPr>
        <w:pStyle w:val="TCBNormalni"/>
        <w:numPr>
          <w:ilvl w:val="0"/>
          <w:numId w:val="13"/>
        </w:numPr>
        <w:jc w:val="both"/>
      </w:pPr>
      <w:r w:rsidRPr="00442E0D">
        <w:t xml:space="preserve">Životnost ventilátorového kola vzduch. ventilátorů kotle min. 120 </w:t>
      </w:r>
      <w:r w:rsidR="00EA4858">
        <w:t>000</w:t>
      </w:r>
      <w:r w:rsidRPr="00442E0D">
        <w:t xml:space="preserve"> provozních hodin</w:t>
      </w:r>
      <w:r w:rsidR="00CD5D4D">
        <w:t>.</w:t>
      </w:r>
    </w:p>
    <w:p w14:paraId="64C7672D" w14:textId="5C2A956A" w:rsidR="00175FB3" w:rsidRPr="00C04E29" w:rsidRDefault="00175FB3" w:rsidP="002D16C6">
      <w:pPr>
        <w:pStyle w:val="TCBNormalni"/>
        <w:numPr>
          <w:ilvl w:val="0"/>
          <w:numId w:val="13"/>
        </w:numPr>
        <w:jc w:val="both"/>
      </w:pPr>
      <w:r w:rsidRPr="00442E0D">
        <w:t>Životnost ventilátorového kola spalin. ventilátorů kotle</w:t>
      </w:r>
      <w:r w:rsidRPr="00442E0D">
        <w:tab/>
        <w:t xml:space="preserve">min. </w:t>
      </w:r>
      <w:r w:rsidR="00836FE8">
        <w:t xml:space="preserve">80 </w:t>
      </w:r>
      <w:r w:rsidR="00EA4858">
        <w:t>000</w:t>
      </w:r>
      <w:r w:rsidRPr="00442E0D">
        <w:t xml:space="preserve"> provozních hodin</w:t>
      </w:r>
      <w:r w:rsidR="00CD5D4D">
        <w:t>.</w:t>
      </w:r>
    </w:p>
    <w:p w14:paraId="089E933F" w14:textId="77777777" w:rsidR="00C04E29" w:rsidRPr="00015654" w:rsidRDefault="00C04E29" w:rsidP="002D16C6">
      <w:pPr>
        <w:pStyle w:val="TCBNormalni"/>
        <w:numPr>
          <w:ilvl w:val="0"/>
          <w:numId w:val="13"/>
        </w:numPr>
        <w:jc w:val="both"/>
      </w:pPr>
      <w:r w:rsidRPr="00015654">
        <w:t>Požaduje se životnost ložisek ventilátorů minimálně 40 000 hodin při maximálním zatížení.</w:t>
      </w:r>
    </w:p>
    <w:p w14:paraId="468392DB" w14:textId="77777777" w:rsidR="00C04E29" w:rsidRPr="00015654" w:rsidRDefault="00C04E29" w:rsidP="002D16C6">
      <w:pPr>
        <w:pStyle w:val="TCBNormalni"/>
        <w:numPr>
          <w:ilvl w:val="0"/>
          <w:numId w:val="13"/>
        </w:numPr>
        <w:jc w:val="both"/>
      </w:pPr>
      <w:r w:rsidRPr="00015654">
        <w:t xml:space="preserve">Větší kuličková a válečková ložiska čerpadel musí mít životnost minimálně 40 000 hodin při maximálním zatížení. </w:t>
      </w:r>
    </w:p>
    <w:p w14:paraId="0CC82CDB" w14:textId="77777777" w:rsidR="00340B03" w:rsidRPr="00015654" w:rsidRDefault="00340B03" w:rsidP="002D16C6">
      <w:pPr>
        <w:pStyle w:val="TCBNormalni"/>
        <w:numPr>
          <w:ilvl w:val="0"/>
          <w:numId w:val="13"/>
        </w:numPr>
        <w:jc w:val="both"/>
      </w:pPr>
      <w:r w:rsidRPr="00015654">
        <w:t xml:space="preserve">Nejkratší přípustná životnost jednotlivých komponent </w:t>
      </w:r>
      <w:r w:rsidRPr="00015654">
        <w:rPr>
          <w:u w:val="single"/>
        </w:rPr>
        <w:t>kotle</w:t>
      </w:r>
      <w:r w:rsidRPr="00015654">
        <w:t xml:space="preserve"> je 10 000 provozních hodin v případě, že je lze vyměnit při plánované BO v trvání 3 týdnů.</w:t>
      </w:r>
    </w:p>
    <w:p w14:paraId="766D8F58" w14:textId="77777777" w:rsidR="00340B03" w:rsidRPr="00015654" w:rsidRDefault="00340B03" w:rsidP="002D16C6">
      <w:pPr>
        <w:pStyle w:val="TCBNormalni"/>
        <w:numPr>
          <w:ilvl w:val="0"/>
          <w:numId w:val="13"/>
        </w:numPr>
        <w:jc w:val="both"/>
      </w:pPr>
      <w:r w:rsidRPr="00015654">
        <w:t>Části, jejichž oprava nebo výměna se nedá provést při plánované BO, musí mít životnost delší než 75 000 provozních hodin a budou se měnit nebo opravovat pouze při plánovaných GO.</w:t>
      </w:r>
    </w:p>
    <w:p w14:paraId="462806DE" w14:textId="77777777" w:rsidR="00340B03" w:rsidRPr="00015654" w:rsidRDefault="00340B03" w:rsidP="002D16C6">
      <w:pPr>
        <w:pStyle w:val="TCBNormalni"/>
        <w:numPr>
          <w:ilvl w:val="0"/>
          <w:numId w:val="13"/>
        </w:numPr>
        <w:jc w:val="both"/>
      </w:pPr>
      <w:r w:rsidRPr="00015654">
        <w:t>Kratší životnost jednotlivých komponent zařízení než 10 000 provozních hodin se nepřipouští.</w:t>
      </w:r>
    </w:p>
    <w:p w14:paraId="57B008C5" w14:textId="5E6A90BD" w:rsidR="00491452" w:rsidRPr="0040463E" w:rsidRDefault="00340B03" w:rsidP="00340B03">
      <w:pPr>
        <w:pStyle w:val="TCBNormalni"/>
        <w:numPr>
          <w:ilvl w:val="0"/>
          <w:numId w:val="13"/>
        </w:numPr>
        <w:jc w:val="both"/>
      </w:pPr>
      <w:r w:rsidRPr="00015654">
        <w:lastRenderedPageBreak/>
        <w:t xml:space="preserve">Požaduje se, aby zhotovitel ve svém realizačním projektu specifikoval ta zařízení, která mají nižší životnost než </w:t>
      </w:r>
      <w:r w:rsidR="001A34BB">
        <w:t>20</w:t>
      </w:r>
      <w:r w:rsidR="001A34BB" w:rsidRPr="00015654">
        <w:t> </w:t>
      </w:r>
      <w:r w:rsidRPr="00015654">
        <w:t>000 hod. a t</w:t>
      </w:r>
      <w:r w:rsidR="00451749">
        <w:t>y</w:t>
      </w:r>
      <w:r w:rsidRPr="00015654">
        <w:t xml:space="preserve">to stanovil. </w:t>
      </w:r>
    </w:p>
    <w:p w14:paraId="2F2AB750" w14:textId="6594130A" w:rsidR="001B7434" w:rsidRPr="00705ADA" w:rsidRDefault="00C04E29" w:rsidP="00D65FAF">
      <w:pPr>
        <w:pStyle w:val="TCBNadpis2"/>
        <w:rPr>
          <w:rFonts w:ascii="Tahoma" w:hAnsi="Tahoma" w:cs="Tahoma"/>
        </w:rPr>
      </w:pPr>
      <w:bookmarkStart w:id="33" w:name="_Toc142307542"/>
      <w:r w:rsidRPr="00C04E29">
        <w:t>Požadovaná disponibilita JEDNOTKY</w:t>
      </w:r>
      <w:bookmarkEnd w:id="33"/>
      <w:r w:rsidRPr="00C04E29">
        <w:t xml:space="preserve"> </w:t>
      </w:r>
    </w:p>
    <w:p w14:paraId="391490D7" w14:textId="736AC052" w:rsidR="001B7434" w:rsidRPr="00BA1400" w:rsidRDefault="00C04E29" w:rsidP="00BA1400">
      <w:pPr>
        <w:jc w:val="both"/>
        <w:rPr>
          <w:rFonts w:ascii="Tahoma" w:hAnsi="Tahoma" w:cs="Tahoma"/>
        </w:rPr>
      </w:pPr>
      <w:r w:rsidRPr="00705ADA">
        <w:rPr>
          <w:rFonts w:ascii="Arial" w:hAnsi="Arial" w:cs="Arial"/>
          <w:sz w:val="20"/>
          <w:szCs w:val="20"/>
        </w:rPr>
        <w:t xml:space="preserve">Definice a požadovaná disponibilita viz příloha A 6. </w:t>
      </w:r>
    </w:p>
    <w:p w14:paraId="690697C2" w14:textId="338C5DA9" w:rsidR="00354C79" w:rsidRPr="00BA1400" w:rsidRDefault="00354C79" w:rsidP="00D65FAF">
      <w:pPr>
        <w:pStyle w:val="TCBNadpis1"/>
      </w:pPr>
      <w:bookmarkStart w:id="34" w:name="_Toc142307543"/>
      <w:r>
        <w:t xml:space="preserve">POŽADAVKY PRO </w:t>
      </w:r>
      <w:r w:rsidRPr="000002C8">
        <w:t>UDRŽB</w:t>
      </w:r>
      <w:r>
        <w:t>U</w:t>
      </w:r>
      <w:r w:rsidRPr="000002C8">
        <w:t xml:space="preserve"> ZA</w:t>
      </w:r>
      <w:r>
        <w:t>Ř</w:t>
      </w:r>
      <w:r w:rsidRPr="000002C8">
        <w:t>ÍZENÍ</w:t>
      </w:r>
      <w:bookmarkEnd w:id="34"/>
      <w:r w:rsidRPr="000002C8">
        <w:t xml:space="preserve"> </w:t>
      </w:r>
    </w:p>
    <w:p w14:paraId="3CF8EC2E" w14:textId="3F908929" w:rsidR="00354C79" w:rsidRDefault="00354C79" w:rsidP="00354C79">
      <w:pPr>
        <w:pStyle w:val="TCBNormalni"/>
      </w:pPr>
      <w:r>
        <w:t xml:space="preserve">Při navrhování údržbových a servisních opatření pro zařízení a systémy </w:t>
      </w:r>
      <w:r w:rsidR="0066385C">
        <w:t>JE</w:t>
      </w:r>
      <w:r w:rsidR="00F34EB5">
        <w:t>D</w:t>
      </w:r>
      <w:r w:rsidR="0066385C">
        <w:t>NOTKY je</w:t>
      </w:r>
      <w:r>
        <w:t xml:space="preserve"> třeba vzít v úvahu okolní podmínky a zásady venkovní instalace.</w:t>
      </w:r>
    </w:p>
    <w:p w14:paraId="34898078" w14:textId="223D3469" w:rsidR="00354C79" w:rsidRDefault="0066385C" w:rsidP="00354C79">
      <w:pPr>
        <w:pStyle w:val="TCBNormalni"/>
      </w:pPr>
      <w:r>
        <w:t>ZHOTOVITEL zajistí</w:t>
      </w:r>
      <w:r w:rsidR="00354C79">
        <w:t xml:space="preserve"> pro všechna zařízení a systémy </w:t>
      </w:r>
      <w:r>
        <w:t>jednotky podmínky</w:t>
      </w:r>
      <w:r w:rsidR="00354C79">
        <w:t xml:space="preserve"> pro </w:t>
      </w:r>
      <w:r>
        <w:t>řádné provádění</w:t>
      </w:r>
      <w:r w:rsidR="00354C79">
        <w:t xml:space="preserve"> </w:t>
      </w:r>
      <w:r w:rsidR="00E5436E">
        <w:t>ú</w:t>
      </w:r>
      <w:r w:rsidR="00354C79">
        <w:t>držby.</w:t>
      </w:r>
    </w:p>
    <w:p w14:paraId="44BCAC73" w14:textId="49E12A3C" w:rsidR="00C725A7" w:rsidRDefault="006E2F65" w:rsidP="00D65FAF">
      <w:pPr>
        <w:pStyle w:val="TCBNadpis2"/>
      </w:pPr>
      <w:bookmarkStart w:id="35" w:name="_Toc142307544"/>
      <w:r>
        <w:t>Předpok</w:t>
      </w:r>
      <w:r w:rsidR="000670D1">
        <w:t>lád</w:t>
      </w:r>
      <w:r w:rsidR="00E1765A">
        <w:t>a</w:t>
      </w:r>
      <w:r w:rsidR="000670D1">
        <w:t>ný</w:t>
      </w:r>
      <w:r w:rsidR="003B02D7">
        <w:t xml:space="preserve"> </w:t>
      </w:r>
      <w:r w:rsidR="00354C79" w:rsidRPr="00C725A7">
        <w:t>systém údržby</w:t>
      </w:r>
      <w:bookmarkEnd w:id="35"/>
      <w:r w:rsidR="00354C79" w:rsidRPr="00C725A7">
        <w:t xml:space="preserve"> </w:t>
      </w:r>
    </w:p>
    <w:p w14:paraId="4D2D8BF1" w14:textId="710524D6" w:rsidR="00354C79" w:rsidRPr="00C725A7" w:rsidRDefault="00B9237E" w:rsidP="00C725A7">
      <w:pPr>
        <w:pStyle w:val="TCBNormalni"/>
        <w:ind w:firstLine="284"/>
      </w:pPr>
      <w:r>
        <w:t>Maximální požadovaná d</w:t>
      </w:r>
      <w:r w:rsidR="00354C79" w:rsidRPr="00C725A7">
        <w:t>élka generální opravy</w:t>
      </w:r>
      <w:r w:rsidR="00D65FAF">
        <w:t>:</w:t>
      </w:r>
      <w:r w:rsidR="00354C79" w:rsidRPr="00C725A7">
        <w:t xml:space="preserve"> </w:t>
      </w:r>
      <w:r w:rsidR="00354C79" w:rsidRPr="00C725A7">
        <w:tab/>
        <w:t>6 týdnů</w:t>
      </w:r>
    </w:p>
    <w:p w14:paraId="675E885F" w14:textId="0CBCA8CE" w:rsidR="00354C79" w:rsidRPr="00C725A7" w:rsidRDefault="00354C79" w:rsidP="00C725A7">
      <w:pPr>
        <w:pStyle w:val="TCBNormalni"/>
        <w:ind w:firstLine="284"/>
      </w:pPr>
      <w:r w:rsidRPr="00C725A7">
        <w:t>Délka běžné opravy</w:t>
      </w:r>
      <w:r w:rsidR="00D65FAF">
        <w:t>:</w:t>
      </w:r>
      <w:r w:rsidR="002E6B45">
        <w:tab/>
      </w:r>
      <w:r w:rsidR="002E6B45">
        <w:tab/>
      </w:r>
      <w:r w:rsidR="002E6B45">
        <w:tab/>
      </w:r>
      <w:r w:rsidR="002E6B45">
        <w:tab/>
      </w:r>
      <w:r w:rsidRPr="00C725A7">
        <w:tab/>
        <w:t>max. 20 dní / 2 roky</w:t>
      </w:r>
    </w:p>
    <w:p w14:paraId="30A28CF7" w14:textId="77777777" w:rsidR="00354C79" w:rsidRPr="00043C5C" w:rsidRDefault="00354C79" w:rsidP="00FA00D2">
      <w:pPr>
        <w:pStyle w:val="TCBNormalni"/>
        <w:numPr>
          <w:ilvl w:val="0"/>
          <w:numId w:val="11"/>
        </w:numPr>
      </w:pPr>
      <w:r w:rsidRPr="00C725A7">
        <w:t>Pokud se při údržbě a opravách vyskytnou odpadní látky, které není možno vypouštět přímo do</w:t>
      </w:r>
      <w:r w:rsidRPr="00043C5C">
        <w:t xml:space="preserve"> kanalizace, musí ZHOTOVITEL zajistit zařízení pro jejich ekologickou likvidaci.</w:t>
      </w:r>
    </w:p>
    <w:p w14:paraId="67069B26" w14:textId="3C7A7DDE" w:rsidR="00354C79" w:rsidRPr="00043C5C" w:rsidRDefault="00354C79" w:rsidP="00FA00D2">
      <w:pPr>
        <w:pStyle w:val="TCBNormalni"/>
        <w:numPr>
          <w:ilvl w:val="0"/>
          <w:numId w:val="11"/>
        </w:numPr>
      </w:pPr>
      <w:r w:rsidRPr="00043C5C">
        <w:t>Zájem provozovatele je udržet zařízení co</w:t>
      </w:r>
      <w:r w:rsidR="00451749">
        <w:t xml:space="preserve"> </w:t>
      </w:r>
      <w:r w:rsidR="0066385C">
        <w:t xml:space="preserve">v </w:t>
      </w:r>
      <w:r w:rsidR="0066385C" w:rsidRPr="00043C5C">
        <w:t>nejdelší</w:t>
      </w:r>
      <w:r w:rsidRPr="00043C5C">
        <w:t xml:space="preserve"> období na projektových parametrech. </w:t>
      </w:r>
    </w:p>
    <w:p w14:paraId="037ADC39" w14:textId="77777777" w:rsidR="00354C79" w:rsidRDefault="00354C79" w:rsidP="00FA00D2">
      <w:pPr>
        <w:pStyle w:val="TCBNormalni"/>
        <w:numPr>
          <w:ilvl w:val="0"/>
          <w:numId w:val="11"/>
        </w:numPr>
      </w:pPr>
      <w:r w:rsidRPr="00043C5C">
        <w:t xml:space="preserve">Údržba celého zařízení bude probíhat podle údržbářských předpisů, které budou obsahovat organizaci, rozsah a časový plán prací, odstávky provozu během roku, cykly oprav. </w:t>
      </w:r>
    </w:p>
    <w:p w14:paraId="2A97B921" w14:textId="61A540DC" w:rsidR="00354C79" w:rsidRPr="00043C5C" w:rsidRDefault="00354C79" w:rsidP="003B02D7">
      <w:pPr>
        <w:pStyle w:val="TCBNormalni"/>
        <w:numPr>
          <w:ilvl w:val="0"/>
          <w:numId w:val="11"/>
        </w:numPr>
      </w:pPr>
      <w:r w:rsidRPr="00043C5C">
        <w:t>S dodávkou zařízení budou dodány předpisy týkající se jednotlivých zařízení, strojů, přístrojů atd.</w:t>
      </w:r>
    </w:p>
    <w:p w14:paraId="19A5FD15" w14:textId="77777777" w:rsidR="00354C79" w:rsidRPr="00043C5C" w:rsidRDefault="00354C79" w:rsidP="00354C79">
      <w:pPr>
        <w:pStyle w:val="TCBNormalni"/>
      </w:pPr>
      <w:r w:rsidRPr="00043C5C">
        <w:t>Zařízení bude rozděleno z pohledu údržby do následujících skupin:</w:t>
      </w:r>
    </w:p>
    <w:p w14:paraId="0FEADD28" w14:textId="5F282962" w:rsidR="00354C79" w:rsidRPr="00043C5C" w:rsidRDefault="00354C79" w:rsidP="00FA00D2">
      <w:pPr>
        <w:pStyle w:val="TCBNormalni"/>
        <w:numPr>
          <w:ilvl w:val="0"/>
          <w:numId w:val="4"/>
        </w:numPr>
      </w:pPr>
      <w:r w:rsidRPr="00043C5C">
        <w:t>zařízení, u kterého je možné provádět údržbu při jeho odstavení (z provozních důvodů je zařízení zálohováno)</w:t>
      </w:r>
      <w:r w:rsidR="00395F54">
        <w:t>,</w:t>
      </w:r>
    </w:p>
    <w:p w14:paraId="403308CB" w14:textId="0FA6B934" w:rsidR="00354C79" w:rsidRPr="00043C5C" w:rsidRDefault="00354C79" w:rsidP="00FA00D2">
      <w:pPr>
        <w:pStyle w:val="TCBNormalni"/>
        <w:numPr>
          <w:ilvl w:val="0"/>
          <w:numId w:val="4"/>
        </w:numPr>
      </w:pPr>
      <w:r w:rsidRPr="00043C5C">
        <w:t xml:space="preserve">zařízení, u kterého je možné provádět údržbu při jeho provozu (dotažení ucpávek </w:t>
      </w:r>
      <w:r w:rsidR="00A80591" w:rsidRPr="00043C5C">
        <w:t>armatur</w:t>
      </w:r>
      <w:r w:rsidR="00395F54">
        <w:t xml:space="preserve"> atd</w:t>
      </w:r>
      <w:r w:rsidR="00A80591" w:rsidRPr="00043C5C">
        <w:t>.</w:t>
      </w:r>
      <w:r w:rsidRPr="00043C5C">
        <w:t>)</w:t>
      </w:r>
      <w:r w:rsidR="00395F54">
        <w:t>,</w:t>
      </w:r>
    </w:p>
    <w:p w14:paraId="00E5359B" w14:textId="642D09C6" w:rsidR="00354C79" w:rsidRPr="00043C5C" w:rsidRDefault="00354C79" w:rsidP="00FA00D2">
      <w:pPr>
        <w:pStyle w:val="TCBNormalni"/>
        <w:numPr>
          <w:ilvl w:val="0"/>
          <w:numId w:val="4"/>
        </w:numPr>
      </w:pPr>
      <w:r w:rsidRPr="00043C5C">
        <w:t xml:space="preserve">zařízení, u kterého se v průběhu provozu </w:t>
      </w:r>
      <w:r w:rsidR="0066385C" w:rsidRPr="00043C5C">
        <w:t>(mezi</w:t>
      </w:r>
      <w:r w:rsidRPr="00043C5C">
        <w:t xml:space="preserve"> </w:t>
      </w:r>
      <w:r w:rsidR="0066385C" w:rsidRPr="00043C5C">
        <w:t>odstávkami</w:t>
      </w:r>
      <w:r w:rsidRPr="00043C5C">
        <w:t>) údržba neprovádí</w:t>
      </w:r>
      <w:r w:rsidR="00395F54">
        <w:t>.</w:t>
      </w:r>
    </w:p>
    <w:p w14:paraId="74463753" w14:textId="77777777" w:rsidR="00354C79" w:rsidRPr="00043C5C" w:rsidRDefault="00354C79" w:rsidP="00354C79">
      <w:pPr>
        <w:pStyle w:val="TCBNormalni"/>
      </w:pPr>
      <w:r w:rsidRPr="00043C5C">
        <w:t>Údržba zařízení se bude provádět na základě sledování provozních hodin u jednotlivého zařízení. Cykly oprav budou stanoveny na základě znalosti životnosti jednotlivých částí zařízení se snahou kumulovat zásahy na zařízení do větších oprav a prodlužovat provozní periody.</w:t>
      </w:r>
    </w:p>
    <w:p w14:paraId="7B986D9C" w14:textId="77777777" w:rsidR="00354C79" w:rsidRDefault="00354C79" w:rsidP="00D65FAF">
      <w:pPr>
        <w:pStyle w:val="TCBNadpis2"/>
      </w:pPr>
      <w:bookmarkStart w:id="36" w:name="_Toc142307545"/>
      <w:r>
        <w:t>Obsluhovatelnost</w:t>
      </w:r>
      <w:bookmarkEnd w:id="36"/>
      <w:r>
        <w:t xml:space="preserve"> </w:t>
      </w:r>
    </w:p>
    <w:p w14:paraId="21B1E2CC" w14:textId="499EA5E9" w:rsidR="00354C79" w:rsidRDefault="00354C79" w:rsidP="00354C79">
      <w:pPr>
        <w:pStyle w:val="TCBNormalni"/>
      </w:pPr>
      <w:r>
        <w:t>Uspořádání ZAŘÍZENÍ musí poskytovat dostatečný přístup k zařízení pro provoz a údržbu. Zařízení vyžadující přístup k provozu nebo údržbě musí být přístupná z úrovně přízemí nebo po schodech. Jakékoli použití vertikálních žebříků jako trasy provozu nebo údržby musí být schváleno OBJEDNATELEM.</w:t>
      </w:r>
      <w:r w:rsidRPr="00C04E29">
        <w:t xml:space="preserve"> </w:t>
      </w:r>
    </w:p>
    <w:p w14:paraId="40567FF4" w14:textId="29BB0BAB" w:rsidR="00354C79" w:rsidRDefault="00354C79" w:rsidP="00354C79">
      <w:pPr>
        <w:pStyle w:val="TCBNormalni"/>
      </w:pPr>
      <w:r w:rsidRPr="00645643">
        <w:t xml:space="preserve">Jednotlivé části </w:t>
      </w:r>
      <w:r w:rsidR="00DC0DE3" w:rsidRPr="00645643">
        <w:t>DÍLA</w:t>
      </w:r>
      <w:r w:rsidR="00295244">
        <w:t xml:space="preserve"> </w:t>
      </w:r>
      <w:r w:rsidRPr="00645643">
        <w:t xml:space="preserve">budou mít vytvořeny dostatečný manipulační prostor pro obsluhu a údržbu. </w:t>
      </w:r>
    </w:p>
    <w:p w14:paraId="73F40869" w14:textId="194E37DC" w:rsidR="00354C79" w:rsidRDefault="00354C79" w:rsidP="00BA1400">
      <w:pPr>
        <w:pStyle w:val="TCBNormalni"/>
      </w:pPr>
      <w:r w:rsidRPr="00645643">
        <w:t>Měřící místa, armatury, průlezy, pozorovací okénka a části DÍLA, u kterých je nutné provádět např. čištění či údržbu, musí být přístupné bez pomocných lešení, nebo jiných konstrukcí. DÍLO a jeho části bude navrženo tak, aby při údržbě či opravách nebylo nutné demontovat další, se zásahem nesouvisející technologické zařízení.</w:t>
      </w:r>
      <w:r w:rsidR="00BA1400">
        <w:t xml:space="preserve"> </w:t>
      </w:r>
    </w:p>
    <w:p w14:paraId="73F3A11F" w14:textId="6B4E9B78" w:rsidR="00354C79" w:rsidRDefault="0066385C" w:rsidP="00D65FAF">
      <w:pPr>
        <w:pStyle w:val="TCBNadpis2"/>
      </w:pPr>
      <w:bookmarkStart w:id="37" w:name="_Toc142307546"/>
      <w:r>
        <w:lastRenderedPageBreak/>
        <w:t>Údržba</w:t>
      </w:r>
      <w:bookmarkEnd w:id="37"/>
    </w:p>
    <w:p w14:paraId="64792190" w14:textId="19AC3100" w:rsidR="00354C79" w:rsidRDefault="00354C79" w:rsidP="00354C79">
      <w:pPr>
        <w:pStyle w:val="TCBNormalni"/>
      </w:pPr>
      <w:r>
        <w:t>Veškerá těžká zařízení, která vyžadují demontáž, budou zvedána vnitřním kladkostrojem nebo s vnějším zvedacím zařízením, jako je mobilní jeřáb atd. Zvedací zařízení a přepravní trasy a</w:t>
      </w:r>
      <w:r w:rsidR="00CD5601">
        <w:t> </w:t>
      </w:r>
      <w:r>
        <w:t xml:space="preserve">předpokládaný servisní prostor budou implementovány už v počátečních fázích </w:t>
      </w:r>
      <w:r w:rsidR="0066385C">
        <w:t>projektu a</w:t>
      </w:r>
      <w:r w:rsidR="00CD5601">
        <w:t> </w:t>
      </w:r>
      <w:r>
        <w:t>imple</w:t>
      </w:r>
      <w:r w:rsidR="00C73438">
        <w:t>me</w:t>
      </w:r>
      <w:r>
        <w:t xml:space="preserve">ntovány do dispozičního řešen. Možnost </w:t>
      </w:r>
      <w:r w:rsidR="00A80591">
        <w:t>demontáže</w:t>
      </w:r>
      <w:r>
        <w:t xml:space="preserve"> pro </w:t>
      </w:r>
      <w:r w:rsidR="00A80591">
        <w:t>některá</w:t>
      </w:r>
      <w:r>
        <w:t xml:space="preserve"> zařízení se musí prokázat již v projekční fázi.</w:t>
      </w:r>
    </w:p>
    <w:p w14:paraId="67300021" w14:textId="7B815572" w:rsidR="00F002F4" w:rsidRDefault="00354C79" w:rsidP="00354C79">
      <w:pPr>
        <w:pStyle w:val="TCBNormalni"/>
      </w:pPr>
      <w:r>
        <w:t>Zařízení a další technologické prvky musí být umístěny v provozních prostorách tak, aby byly snadno přístupné, i když jsou v provozu, a snadno se udržovaly. Veškeré vybavení a jeho části, jejichž hmotnost přesahuje 50 kg, musí být přístupné pro jakoukoli manipulaci s trvalým kladkostrojem nebo pomocnými</w:t>
      </w:r>
      <w:r w:rsidR="00C37A1C">
        <w:t xml:space="preserve"> m</w:t>
      </w:r>
      <w:r w:rsidR="0081561B">
        <w:t xml:space="preserve">obilními </w:t>
      </w:r>
      <w:r>
        <w:t>kladkostroji nebo nosnou konstrukcí</w:t>
      </w:r>
      <w:r w:rsidR="00F002F4">
        <w:t>.</w:t>
      </w:r>
    </w:p>
    <w:p w14:paraId="16098288" w14:textId="04396933" w:rsidR="00354C79" w:rsidRDefault="00F002F4" w:rsidP="00354C79">
      <w:pPr>
        <w:pStyle w:val="TCBNormalni"/>
      </w:pPr>
      <w:r>
        <w:t>Zařízení</w:t>
      </w:r>
      <w:r w:rsidR="00354C79">
        <w:t xml:space="preserve"> musí být vybaveno zvedacími oky, nosníkem kladkostroje a pro jejich údržbu musí být zajištěno přístupné stanoviště nebo manipulační místo. Je povolen pouze svislý zdvih, jakékoli vychýlení při zvedání břemene je zakázáno.</w:t>
      </w:r>
    </w:p>
    <w:p w14:paraId="7F2FFC81" w14:textId="6F5BDB75" w:rsidR="00C04E29" w:rsidRPr="006861F6" w:rsidRDefault="00354C79" w:rsidP="00813F24">
      <w:pPr>
        <w:pStyle w:val="TCBNormalni"/>
      </w:pPr>
      <w:r w:rsidRPr="00645643">
        <w:t>Zvedací zařízení budou navržena tak, aby byla schopna vyložit zvedané zařízení k nejbližší přístupné komunikaci nebo průjezdu pro dopravu. Zvedací zařízení s nosností nad 3 t a zdvihem nad 5 m budou navržena s elektrickým pohonem zabezpečeným proti omylu obsluhy.</w:t>
      </w:r>
    </w:p>
    <w:p w14:paraId="32D9EA12" w14:textId="6D07FB45" w:rsidR="00CE56D8" w:rsidRPr="00D65FAF" w:rsidRDefault="00C9032D" w:rsidP="00D65FAF">
      <w:pPr>
        <w:pStyle w:val="TCBNadpis1"/>
      </w:pPr>
      <w:bookmarkStart w:id="38" w:name="_Toc142307547"/>
      <w:bookmarkStart w:id="39" w:name="_Hlk138758517"/>
      <w:r w:rsidRPr="00D65FAF">
        <w:t>PÉČE O ŽIVOTNÍ PROSTŘEDÍ</w:t>
      </w:r>
      <w:bookmarkEnd w:id="38"/>
      <w:r w:rsidRPr="00D65FAF">
        <w:t xml:space="preserve"> </w:t>
      </w:r>
    </w:p>
    <w:p w14:paraId="663F8046" w14:textId="0C2D77E6" w:rsidR="00C04E29" w:rsidRDefault="00BA1400" w:rsidP="00BA1400">
      <w:pPr>
        <w:pStyle w:val="TCBNormalni"/>
      </w:pPr>
      <w:r>
        <w:t xml:space="preserve">Emisní požadavky jsou dány v příloze A6. </w:t>
      </w:r>
    </w:p>
    <w:p w14:paraId="71D5B312" w14:textId="1C831D4E" w:rsidR="00CE56D8" w:rsidRPr="00BA1400" w:rsidRDefault="00C9032D" w:rsidP="00D65FAF">
      <w:pPr>
        <w:pStyle w:val="TCBNadpis1"/>
      </w:pPr>
      <w:bookmarkStart w:id="40" w:name="_Toc142307548"/>
      <w:bookmarkEnd w:id="39"/>
      <w:r w:rsidRPr="00BA1400">
        <w:t>BEZPEČNOST PRÁCE A TE</w:t>
      </w:r>
      <w:r w:rsidR="00916165" w:rsidRPr="00BA1400">
        <w:t>C</w:t>
      </w:r>
      <w:r w:rsidRPr="00BA1400">
        <w:t>HNI</w:t>
      </w:r>
      <w:r w:rsidR="00916165" w:rsidRPr="00BA1400">
        <w:t>C</w:t>
      </w:r>
      <w:r w:rsidRPr="00BA1400">
        <w:t>KÝCH ZAŘÍZENÍ</w:t>
      </w:r>
      <w:bookmarkEnd w:id="40"/>
      <w:r w:rsidRPr="00BA1400">
        <w:t xml:space="preserve"> </w:t>
      </w:r>
    </w:p>
    <w:p w14:paraId="30EB4D8B" w14:textId="7CF4DD67" w:rsidR="00916165" w:rsidRPr="00D65FAF" w:rsidRDefault="00916165" w:rsidP="00D65FAF">
      <w:pPr>
        <w:pStyle w:val="TCBNadpis2"/>
      </w:pPr>
      <w:bookmarkStart w:id="41" w:name="_Toc142307549"/>
      <w:r w:rsidRPr="00D65FAF">
        <w:t>Obecná rizika</w:t>
      </w:r>
      <w:bookmarkEnd w:id="41"/>
      <w:r w:rsidRPr="00D65FAF">
        <w:t xml:space="preserve"> </w:t>
      </w:r>
    </w:p>
    <w:p w14:paraId="7246EA84" w14:textId="54145240" w:rsidR="00340B03" w:rsidRPr="00916165" w:rsidRDefault="00340B03" w:rsidP="00916165">
      <w:pPr>
        <w:pStyle w:val="TCBNormalni"/>
      </w:pPr>
      <w:r w:rsidRPr="00916165">
        <w:t xml:space="preserve">Musí být vyloučena všechna rizika vznikající z </w:t>
      </w:r>
      <w:r w:rsidR="00C017DE">
        <w:t>provozu</w:t>
      </w:r>
      <w:r w:rsidRPr="00916165">
        <w:t>. Pro</w:t>
      </w:r>
      <w:r w:rsidR="00C017DE">
        <w:t>voz</w:t>
      </w:r>
      <w:r w:rsidRPr="00916165">
        <w:t xml:space="preserve"> musí být bezpečný a musí se provést všechna nutná opatření, aby se předešlo jakémukoli nebezpečí pro personál, zařízení a okolí během najíždění, normálního provozu, plánovaných odstávek, nouzového odstavení a výpadků. Uvolňovací a</w:t>
      </w:r>
      <w:r w:rsidR="00405837">
        <w:t> </w:t>
      </w:r>
      <w:r w:rsidRPr="00916165">
        <w:t xml:space="preserve">odvětrávací systémy budou </w:t>
      </w:r>
      <w:r w:rsidR="00262005">
        <w:t>zajišťovat</w:t>
      </w:r>
      <w:r w:rsidR="00262005" w:rsidRPr="00916165">
        <w:t xml:space="preserve"> </w:t>
      </w:r>
      <w:r w:rsidRPr="00916165">
        <w:t>bezpečné odvedení uvolňovaných plynů nebo par.</w:t>
      </w:r>
    </w:p>
    <w:p w14:paraId="259FCDE7" w14:textId="5BAE6934" w:rsidR="00340B03" w:rsidRPr="00916165" w:rsidRDefault="00340B03" w:rsidP="00916165">
      <w:pPr>
        <w:pStyle w:val="TCBNormalni"/>
      </w:pPr>
      <w:r w:rsidRPr="00916165">
        <w:t>Zařízení bude navrženo a provedeno v souladu s platnými bezpečnostními předpisy, vyhláškami a ČSN. Rovněž všechny práce budou prováděny dle těchto předpisů, vyhlášek a norem.</w:t>
      </w:r>
    </w:p>
    <w:p w14:paraId="05E0A396" w14:textId="30910FB2" w:rsidR="00916165" w:rsidRPr="00916165" w:rsidRDefault="0066385C" w:rsidP="00916165">
      <w:pPr>
        <w:pStyle w:val="TCBNormalni"/>
      </w:pPr>
      <w:r w:rsidRPr="00916165">
        <w:t>JEDNOTKA i</w:t>
      </w:r>
      <w:r w:rsidR="00916165" w:rsidRPr="00916165">
        <w:t xml:space="preserve"> přímo související části VÝROBNY budou posouzeny v souladu s nařízením vlády 406/2004 </w:t>
      </w:r>
      <w:r w:rsidR="00777405">
        <w:t xml:space="preserve">Sb. </w:t>
      </w:r>
      <w:r w:rsidRPr="00916165">
        <w:t>o bližších</w:t>
      </w:r>
      <w:r w:rsidR="00916165" w:rsidRPr="00916165">
        <w:t xml:space="preserve"> požadavcích na zajištění bezpečnosti a ochrany zdraví při práci v prostředí s nebezpečím výbuchu a </w:t>
      </w:r>
      <w:r w:rsidR="00451749">
        <w:t xml:space="preserve">s </w:t>
      </w:r>
      <w:r w:rsidR="00916165" w:rsidRPr="00916165">
        <w:t xml:space="preserve">jinými s legislativními předpisy posouzeny a následně opatřeny takovými technologickým řešením, zajištující soulad s těmito přepisy. </w:t>
      </w:r>
    </w:p>
    <w:p w14:paraId="567C5F14" w14:textId="351492C5" w:rsidR="00916165" w:rsidRPr="00916165" w:rsidRDefault="00916165" w:rsidP="00D65FAF">
      <w:pPr>
        <w:pStyle w:val="TCBNadpis2"/>
      </w:pPr>
      <w:bookmarkStart w:id="42" w:name="_Toc142307550"/>
      <w:r w:rsidRPr="00916165">
        <w:t>Vyhrazená technická zařízení</w:t>
      </w:r>
      <w:bookmarkEnd w:id="42"/>
      <w:r w:rsidRPr="00916165">
        <w:t xml:space="preserve"> </w:t>
      </w:r>
    </w:p>
    <w:p w14:paraId="7E255CAE" w14:textId="77777777" w:rsidR="00340B03" w:rsidRPr="00916165" w:rsidRDefault="00340B03" w:rsidP="00916165">
      <w:pPr>
        <w:pStyle w:val="TCBNormalni"/>
      </w:pPr>
      <w:r w:rsidRPr="00916165">
        <w:t>Normy vztahující se k vyhrazeným technickým zařízením budou bezpodmínečně dodrženy; výjimky na úkor bezpečnosti práce nebudou povoleny.</w:t>
      </w:r>
    </w:p>
    <w:p w14:paraId="7A618268" w14:textId="77777777" w:rsidR="00340B03" w:rsidRPr="00916165" w:rsidRDefault="00340B03" w:rsidP="00916165">
      <w:pPr>
        <w:pStyle w:val="TCBNormalni"/>
      </w:pPr>
      <w:r w:rsidRPr="00916165">
        <w:t>Stroje, přístroje, nástroje a jiné zařízení při jejichž používání by mohlo dojít k poškození zdraví pracovníků budou opatřeny návodem, ve kterém budou uvedena opatření k ochraně zdraví pracovníků.</w:t>
      </w:r>
    </w:p>
    <w:p w14:paraId="42D73198" w14:textId="4672DEEC" w:rsidR="00916165" w:rsidRDefault="00340B03" w:rsidP="00BA1400">
      <w:pPr>
        <w:pStyle w:val="TCBNormalni"/>
        <w:rPr>
          <w:rFonts w:ascii="Tahoma" w:hAnsi="Tahoma" w:cs="Tahoma"/>
        </w:rPr>
      </w:pPr>
      <w:r w:rsidRPr="00916165">
        <w:t xml:space="preserve">Při návrhu projektového řešení a vlastní realizaci musí být zohledněny a dodržovány veškeré platné předpisy a vyhlášky týkající se BOZP pro jednotlivé konkrétní práce a činnosti (jde zejména o vyhlášku ČÚBP č. 48/1982 Sb., kterou se stanoví základní požadavky k zajištění bezpečnosti práce a technických zařízení – v platnosti již jen vybrané paragrafy, zvláště pak NV č. 101/2005 Sb., o podrobnějších požadavcích na pracoviště a pracovní prostředí, NV č. 362/2005 Sb. o bližších požadavcích na BOZP </w:t>
      </w:r>
      <w:r w:rsidRPr="00916165">
        <w:lastRenderedPageBreak/>
        <w:t>na pracovištích s nebezpečím pádu z výšky a do</w:t>
      </w:r>
      <w:r w:rsidRPr="00015654">
        <w:rPr>
          <w:rFonts w:ascii="Tahoma" w:hAnsi="Tahoma" w:cs="Tahoma"/>
        </w:rPr>
        <w:t xml:space="preserve"> hloubky a všech souvisejících jiných vyhlášek, norem a předpisů, popř. ve znění pozdějších prováděcích a změnových vyhlášek). </w:t>
      </w:r>
    </w:p>
    <w:p w14:paraId="492A8B4A" w14:textId="3E27E73F" w:rsidR="00916165" w:rsidRPr="002C194A" w:rsidRDefault="00916165" w:rsidP="00D65FAF">
      <w:pPr>
        <w:pStyle w:val="TCBNadpis2"/>
      </w:pPr>
      <w:bookmarkStart w:id="43" w:name="_Toc142307551"/>
      <w:r w:rsidRPr="002C194A">
        <w:t>Ochrana proti nebezpečí výbuchu plynů, par a prachu</w:t>
      </w:r>
      <w:bookmarkEnd w:id="43"/>
    </w:p>
    <w:p w14:paraId="002E6469" w14:textId="05D5593B" w:rsidR="00916165" w:rsidRPr="007B1FBC" w:rsidRDefault="00916165" w:rsidP="00916165">
      <w:pPr>
        <w:pStyle w:val="TCBNormalni"/>
      </w:pPr>
      <w:r w:rsidRPr="007B1FBC">
        <w:t>Celý proces bude hodnocen v souladu s požadavky na zajištění bezp</w:t>
      </w:r>
      <w:r>
        <w:t>e</w:t>
      </w:r>
      <w:r w:rsidRPr="007B1FBC">
        <w:t xml:space="preserve">čnosti a ochrany zdraví při práci v prostředí s nebezpečím výbuch dle NV 406/2004 Sb. </w:t>
      </w:r>
    </w:p>
    <w:p w14:paraId="0ECED169" w14:textId="5D855110" w:rsidR="00916165" w:rsidRPr="007B1FBC" w:rsidRDefault="00916165" w:rsidP="00916165">
      <w:pPr>
        <w:pStyle w:val="TCBNormalni"/>
      </w:pPr>
      <w:r w:rsidRPr="007B1FBC">
        <w:t>Zdrojem nebezpečí požáru a výbuchu je technologie dopravy</w:t>
      </w:r>
      <w:r w:rsidR="00FE3BAA">
        <w:t xml:space="preserve"> a skladování </w:t>
      </w:r>
      <w:r w:rsidRPr="007B1FBC">
        <w:t>dřevní štěpky. Dalším zdrojem je zemní plyn.</w:t>
      </w:r>
    </w:p>
    <w:p w14:paraId="2F4464A4" w14:textId="30778659" w:rsidR="00916165" w:rsidRPr="007B1FBC" w:rsidRDefault="00FE3BAA" w:rsidP="00916165">
      <w:pPr>
        <w:pStyle w:val="TCBNormalni"/>
      </w:pPr>
      <w:proofErr w:type="spellStart"/>
      <w:r w:rsidRPr="00247748">
        <w:t>D</w:t>
      </w:r>
      <w:r w:rsidR="0066385C" w:rsidRPr="00247748">
        <w:t>řevoštěpkový</w:t>
      </w:r>
      <w:proofErr w:type="spellEnd"/>
      <w:r w:rsidR="0066385C" w:rsidRPr="00247748">
        <w:t xml:space="preserve"> prach</w:t>
      </w:r>
      <w:r w:rsidR="00916165" w:rsidRPr="00247748">
        <w:t xml:space="preserve"> může vytvářet v rozvířeném stavu ve směsi se vzduchem výbušnou směs.</w:t>
      </w:r>
    </w:p>
    <w:p w14:paraId="6DD5B1F6" w14:textId="77777777" w:rsidR="00916165" w:rsidRPr="007B1FBC" w:rsidRDefault="00916165" w:rsidP="00916165">
      <w:pPr>
        <w:pStyle w:val="TCBNormalni"/>
      </w:pPr>
      <w:r w:rsidRPr="007B1FBC">
        <w:t xml:space="preserve">Nebezpečí výbuchu při přepravě a skladování hrozí především v uzavřených technologiích. Jedná se o systémy </w:t>
      </w:r>
      <w:proofErr w:type="spellStart"/>
      <w:r w:rsidRPr="007B1FBC">
        <w:t>pneudopravy</w:t>
      </w:r>
      <w:proofErr w:type="spellEnd"/>
      <w:r w:rsidRPr="007B1FBC">
        <w:t xml:space="preserve">, šnekové dopravníky, uzavřené pásové dopravníky, elevátory, v prostoru okolo přesypů dopravníků aj. </w:t>
      </w:r>
    </w:p>
    <w:p w14:paraId="3A191A3C" w14:textId="77777777" w:rsidR="00916165" w:rsidRPr="007B1FBC" w:rsidRDefault="00916165" w:rsidP="00916165">
      <w:pPr>
        <w:pStyle w:val="TCBNormalni"/>
      </w:pPr>
      <w:r w:rsidRPr="007B1FBC">
        <w:t>U skladovacích zařízeních se jedná o sila a uzavřené zásobníky. Uvnitř těchto technologií totiž dochází při manipulaci k rozvíření prachových částic, které mohou tvořit výbušnou atmosféru. Dostane-li se tato výbušná atmosféra do kontaktu s dostatečně účinným iniciačním zdrojem, dojde k výbuchu.</w:t>
      </w:r>
    </w:p>
    <w:p w14:paraId="701050FA" w14:textId="38E19928" w:rsidR="00916165" w:rsidRPr="007B1FBC" w:rsidRDefault="00916165" w:rsidP="00916165">
      <w:pPr>
        <w:pStyle w:val="TCBNormalni"/>
      </w:pPr>
      <w:r w:rsidRPr="007B1FBC">
        <w:t xml:space="preserve">Pro dopravu </w:t>
      </w:r>
      <w:r w:rsidR="0066385C" w:rsidRPr="007B1FBC">
        <w:t>štěpky</w:t>
      </w:r>
      <w:r w:rsidR="00F959CB">
        <w:t xml:space="preserve"> a </w:t>
      </w:r>
      <w:proofErr w:type="spellStart"/>
      <w:r w:rsidR="00F959CB">
        <w:t>peletek</w:t>
      </w:r>
      <w:proofErr w:type="spellEnd"/>
      <w:r w:rsidR="0066385C" w:rsidRPr="007B1FBC">
        <w:t xml:space="preserve"> ze</w:t>
      </w:r>
      <w:r w:rsidRPr="007B1FBC">
        <w:t xml:space="preserve"> </w:t>
      </w:r>
      <w:r w:rsidR="00A80591" w:rsidRPr="007B1FBC">
        <w:t>sil</w:t>
      </w:r>
      <w:r w:rsidR="00F959CB">
        <w:t xml:space="preserve"> ke</w:t>
      </w:r>
      <w:r w:rsidRPr="007B1FBC">
        <w:t xml:space="preserve"> kotli bude použito samostatného dopravního systému, </w:t>
      </w:r>
      <w:r w:rsidR="0066385C" w:rsidRPr="007B1FBC">
        <w:t>který bude utěsněn</w:t>
      </w:r>
      <w:r w:rsidRPr="007B1FBC">
        <w:t xml:space="preserve"> tak aby nedocházelo k únikům prachu do kotelny.</w:t>
      </w:r>
    </w:p>
    <w:p w14:paraId="3CFF7737" w14:textId="1F42334B" w:rsidR="00916165" w:rsidRPr="007B1FBC" w:rsidRDefault="00916165" w:rsidP="00916165">
      <w:pPr>
        <w:pStyle w:val="TCBNormalni"/>
      </w:pPr>
      <w:r w:rsidRPr="007B1FBC">
        <w:t xml:space="preserve">Tento systém v závislosti na potrubí bude vybaven indikací a signalizací nebezpečné koncentrace </w:t>
      </w:r>
      <w:r w:rsidR="00C95429">
        <w:t>medií</w:t>
      </w:r>
      <w:r w:rsidRPr="007B1FBC">
        <w:t>.</w:t>
      </w:r>
    </w:p>
    <w:p w14:paraId="5895B7A7" w14:textId="5B40B2D6" w:rsidR="00916165" w:rsidRPr="007B1FBC" w:rsidRDefault="00916165" w:rsidP="00916165">
      <w:pPr>
        <w:pStyle w:val="TCBNormalni"/>
      </w:pPr>
      <w:r w:rsidRPr="007B1FBC">
        <w:t>Potrubí a zařízení, ve kterých může dojít k výbuchu hořlavých par nebo prachů budou opatřena pojistným zařízením (klapky, membrány)</w:t>
      </w:r>
      <w:r w:rsidR="00DE4C10">
        <w:t xml:space="preserve">, </w:t>
      </w:r>
      <w:proofErr w:type="gramStart"/>
      <w:r w:rsidRPr="007B1FBC">
        <w:t>nejsou–</w:t>
      </w:r>
      <w:proofErr w:type="spellStart"/>
      <w:r w:rsidRPr="007B1FBC">
        <w:t>li</w:t>
      </w:r>
      <w:proofErr w:type="spellEnd"/>
      <w:proofErr w:type="gramEnd"/>
      <w:r w:rsidRPr="007B1FBC">
        <w:t xml:space="preserve"> konstruovány tak, aby odolaly výbuchovému tlaku. </w:t>
      </w:r>
    </w:p>
    <w:p w14:paraId="02B373F0" w14:textId="77777777" w:rsidR="00916165" w:rsidRPr="007B1FBC" w:rsidRDefault="00916165" w:rsidP="00916165">
      <w:pPr>
        <w:pStyle w:val="TCBNormalni"/>
      </w:pPr>
      <w:r w:rsidRPr="007B1FBC">
        <w:t>Prostory s nebezpečím výbuchu budou opatřeny trvalým větráním.</w:t>
      </w:r>
    </w:p>
    <w:p w14:paraId="397371BD" w14:textId="5C19962E" w:rsidR="00916165" w:rsidRPr="007B1FBC" w:rsidRDefault="00916165" w:rsidP="00916165">
      <w:pPr>
        <w:pStyle w:val="TCBNormalni"/>
      </w:pPr>
      <w:r w:rsidRPr="007B1FBC">
        <w:t>Prostory, kde dochází ke spalování zemního plynu budou větrány s</w:t>
      </w:r>
      <w:r w:rsidR="00D12DDD">
        <w:t xml:space="preserve"> minimálně s </w:t>
      </w:r>
      <w:r w:rsidRPr="007B1FBC">
        <w:t xml:space="preserve">minimální četností výměny vzduchu dle platných předpisů pro dané prostředí. Budou zde instalovány detektory úniku plynu, které v případě úniku plynu uzavřou hlavní uzávěr plynu na vstupu do </w:t>
      </w:r>
      <w:r w:rsidR="00A80591" w:rsidRPr="007B1FBC">
        <w:t>objektu,</w:t>
      </w:r>
      <w:r w:rsidRPr="007B1FBC">
        <w:t xml:space="preserve"> a tak odstaví zařízení pro spalování plynu z provozu. </w:t>
      </w:r>
    </w:p>
    <w:p w14:paraId="1CDF384E" w14:textId="2AA44415" w:rsidR="00916165" w:rsidRPr="002C194A" w:rsidRDefault="00916165" w:rsidP="00916165">
      <w:pPr>
        <w:pStyle w:val="TCBNormalni"/>
      </w:pPr>
      <w:r w:rsidRPr="007B1FBC">
        <w:t xml:space="preserve">Zařízení musí být navrženo v souladu s Nařízením vlády </w:t>
      </w:r>
      <w:r w:rsidR="00F959CB" w:rsidRPr="00247748">
        <w:t>č. 116/2016 S</w:t>
      </w:r>
      <w:r w:rsidR="007C3570">
        <w:t xml:space="preserve">b. </w:t>
      </w:r>
      <w:r w:rsidR="00F959CB" w:rsidRPr="00F959CB">
        <w:t>o posuzování shody zařízení a ochranných systémů určených k použití v prostředí s nebezpečím výbuchu při jejich dodávání na trh</w:t>
      </w:r>
      <w:r w:rsidRPr="007B1FBC">
        <w:t xml:space="preserve"> a </w:t>
      </w:r>
      <w:r w:rsidRPr="00247748">
        <w:t xml:space="preserve">vyhláškou </w:t>
      </w:r>
      <w:r w:rsidR="00F959CB" w:rsidRPr="00247748">
        <w:t>č. 407/2004 Sb</w:t>
      </w:r>
      <w:r w:rsidR="0066385C" w:rsidRPr="002C194A">
        <w:t>.</w:t>
      </w:r>
    </w:p>
    <w:p w14:paraId="3A7FCE3F" w14:textId="77777777" w:rsidR="00916165" w:rsidRPr="002C194A" w:rsidRDefault="00916165" w:rsidP="00916165">
      <w:pPr>
        <w:pStyle w:val="TCBNormalni"/>
      </w:pPr>
      <w:r w:rsidRPr="002C194A">
        <w:t>Prostory s nebezpečím výbuchu musí mít část svého vnějšího pláště (obvodového, střešního) provedenou jako výfukovou plochu. Ostatní plochy musí odolat účinkům případného výbuchu.</w:t>
      </w:r>
    </w:p>
    <w:p w14:paraId="54180C6B" w14:textId="77777777" w:rsidR="00916165" w:rsidRPr="002C194A" w:rsidRDefault="00916165" w:rsidP="00916165">
      <w:pPr>
        <w:pStyle w:val="TCBNormalni"/>
      </w:pPr>
      <w:r w:rsidRPr="002C194A">
        <w:t>V prostorách, kde je nebezpečí výronu látek ohrožující zdraví a život pracovníků, musí být instalovány analyzátory ovzduší s vyhlašováním poplachu a automatickým spouštěním havarijního větrání.</w:t>
      </w:r>
    </w:p>
    <w:p w14:paraId="39A1544A" w14:textId="77777777" w:rsidR="00916165" w:rsidRPr="002C194A" w:rsidRDefault="00916165" w:rsidP="00916165">
      <w:pPr>
        <w:pStyle w:val="TCBNormalni"/>
      </w:pPr>
      <w:r w:rsidRPr="002C194A">
        <w:t>Způsoby ochrany zásobníků a dopravních systémů</w:t>
      </w:r>
    </w:p>
    <w:p w14:paraId="7D2B788A" w14:textId="22F9D24A" w:rsidR="00916165" w:rsidRPr="002C194A" w:rsidRDefault="00916165" w:rsidP="00916165">
      <w:pPr>
        <w:pStyle w:val="TCBNormalni"/>
      </w:pPr>
      <w:r w:rsidRPr="002C194A">
        <w:t xml:space="preserve">Jestliže má samotná konstrukce takovou tlakovou odolnost, že odolá výbuchovému tlaku, aniž by došlo k jejímu porušení, není </w:t>
      </w:r>
      <w:r w:rsidR="00A80591" w:rsidRPr="002C194A">
        <w:t>nutné,</w:t>
      </w:r>
      <w:r w:rsidRPr="002C194A">
        <w:t xml:space="preserve"> jakkoliv zasahovat do konstrukce. Takové nádoby můžeme rozdělit na dvě skupiny, a to nádoby, jež odolají výbuchovému tlaku a ty, které odolají výbuchovému rázu. </w:t>
      </w:r>
    </w:p>
    <w:p w14:paraId="07BC4849" w14:textId="77777777" w:rsidR="00916165" w:rsidRPr="002C194A" w:rsidRDefault="00916165" w:rsidP="00916165">
      <w:pPr>
        <w:pStyle w:val="TCBNormalni"/>
      </w:pPr>
      <w:r w:rsidRPr="002C194A">
        <w:t>Toto rozdělení vychází z požadavku, zda se mohou na nádobě vyskytovat trvalé deformace.</w:t>
      </w:r>
    </w:p>
    <w:p w14:paraId="5D2DDFA0" w14:textId="51A353F6" w:rsidR="00916165" w:rsidRPr="002C194A" w:rsidRDefault="00916165" w:rsidP="00916165">
      <w:pPr>
        <w:pStyle w:val="TCBNormalni"/>
      </w:pPr>
      <w:r w:rsidRPr="002C194A">
        <w:t xml:space="preserve">V závislosti na ČSN EN 14460 (konstrukce odolné výbuchovému </w:t>
      </w:r>
      <w:r w:rsidR="00F959CB" w:rsidRPr="002C194A">
        <w:t>tlaku) nebude</w:t>
      </w:r>
      <w:r w:rsidRPr="002C194A">
        <w:t xml:space="preserve"> pro nádoby odolné výbuchovému tlaku nebo rázu nutné instalovat odlehčovací zařízení.  </w:t>
      </w:r>
    </w:p>
    <w:p w14:paraId="565D6B44" w14:textId="7EB84EFC" w:rsidR="00916165" w:rsidRPr="002C194A" w:rsidRDefault="00916165" w:rsidP="00916165">
      <w:pPr>
        <w:pStyle w:val="TCBNormalni"/>
      </w:pPr>
      <w:r w:rsidRPr="002C194A">
        <w:t>V případě, že není zásobník/ nádoba konstruován jako nádoba odolná výbuchovému tlaku nebo rázu, musí být přistoupeno k řešení ochrany zásobníku zařízením na potlačení nebo uvolnění výbuchu. Oběma systémy se snižuje maximální výbuchový tlak na tzv. redukovaný výbuchový tlak, který je mnohem nižší než maximální výbuchový tlak.</w:t>
      </w:r>
    </w:p>
    <w:p w14:paraId="58E9038B" w14:textId="77777777" w:rsidR="00916165" w:rsidRPr="002C194A" w:rsidRDefault="00916165" w:rsidP="00916165">
      <w:pPr>
        <w:pStyle w:val="TCBNormalni"/>
      </w:pPr>
      <w:r w:rsidRPr="002C194A">
        <w:lastRenderedPageBreak/>
        <w:t>Zabránění přenosu výbuchu do/z ostatních částí technologie</w:t>
      </w:r>
    </w:p>
    <w:p w14:paraId="7E39BE4A" w14:textId="4988D6FF" w:rsidR="00916165" w:rsidRPr="002C194A" w:rsidRDefault="00916165" w:rsidP="00916165">
      <w:pPr>
        <w:pStyle w:val="TCBNormalni"/>
      </w:pPr>
      <w:r w:rsidRPr="002C194A">
        <w:t>Na základě vyhodnocení v</w:t>
      </w:r>
      <w:r w:rsidR="00451749">
        <w:t> </w:t>
      </w:r>
      <w:r w:rsidR="0066385C" w:rsidRPr="002C194A">
        <w:t>rámci,</w:t>
      </w:r>
      <w:r w:rsidR="00451749">
        <w:t xml:space="preserve"> </w:t>
      </w:r>
      <w:r w:rsidR="0066385C">
        <w:t xml:space="preserve">kterého </w:t>
      </w:r>
      <w:r w:rsidR="0066385C" w:rsidRPr="002C194A">
        <w:t>bude</w:t>
      </w:r>
      <w:r w:rsidRPr="002C194A">
        <w:t xml:space="preserve"> </w:t>
      </w:r>
      <w:r w:rsidR="0066385C" w:rsidRPr="002C194A">
        <w:t>instalován systém</w:t>
      </w:r>
      <w:r w:rsidRPr="002C194A">
        <w:t xml:space="preserve"> pro zabránění přenosu výbuchu se používá jako opatření proti šíření výbuchu z jednoho zařízení do druhého. např. rotační podavače, ventily, rychlouzavírací šoupátka) dle ČSN EN15089 nebo způsobem zamezení přenosu vrstvou materiálu. </w:t>
      </w:r>
    </w:p>
    <w:p w14:paraId="08461213" w14:textId="13A83CB6" w:rsidR="00916165" w:rsidRPr="002C194A" w:rsidRDefault="00916165" w:rsidP="00916165">
      <w:pPr>
        <w:pStyle w:val="TCBNormalni"/>
      </w:pPr>
      <w:r w:rsidRPr="002C194A">
        <w:t>Je možné též využít systém šnekových dopravník</w:t>
      </w:r>
      <w:r w:rsidR="00451749">
        <w:t>ů</w:t>
      </w:r>
      <w:r w:rsidRPr="002C194A">
        <w:t xml:space="preserve">, které zabraňují dalšímu </w:t>
      </w:r>
      <w:r w:rsidR="0066385C" w:rsidRPr="002C194A">
        <w:t>přenosu výbuchu</w:t>
      </w:r>
      <w:r w:rsidRPr="002C194A">
        <w:t xml:space="preserve"> do dalších částí technologie. </w:t>
      </w:r>
    </w:p>
    <w:p w14:paraId="2A4425BB" w14:textId="65776E60" w:rsidR="00916165" w:rsidRPr="00015654" w:rsidRDefault="00916165" w:rsidP="00D65FAF">
      <w:pPr>
        <w:pStyle w:val="TCBNadpis2"/>
      </w:pPr>
      <w:bookmarkStart w:id="44" w:name="_Toc142307552"/>
      <w:r>
        <w:t>Hygiena</w:t>
      </w:r>
      <w:bookmarkEnd w:id="44"/>
      <w:r>
        <w:t xml:space="preserve"> </w:t>
      </w:r>
    </w:p>
    <w:p w14:paraId="448C44AC" w14:textId="77777777" w:rsidR="00340B03" w:rsidRPr="00015654" w:rsidRDefault="00340B03" w:rsidP="005B5A38">
      <w:pPr>
        <w:pStyle w:val="TCBNormalni"/>
      </w:pPr>
      <w:r w:rsidRPr="00015654">
        <w:t>Při návrhu zařízení bude postupováno dle následujících hygienických a jiných předpisů v platném znění:</w:t>
      </w:r>
    </w:p>
    <w:p w14:paraId="54335A8B" w14:textId="179FBB0B" w:rsidR="00340B03" w:rsidRPr="00015654" w:rsidRDefault="006D200B" w:rsidP="00FA00D2">
      <w:pPr>
        <w:pStyle w:val="TCBNormalni"/>
        <w:numPr>
          <w:ilvl w:val="0"/>
          <w:numId w:val="14"/>
        </w:numPr>
      </w:pPr>
      <w:r>
        <w:t>z</w:t>
      </w:r>
      <w:r w:rsidR="00340B03" w:rsidRPr="00015654">
        <w:t>ákon č. 258/2000 Sb., o ochraně veřejného zdraví a o změně některých souvisejících předpisů.</w:t>
      </w:r>
    </w:p>
    <w:p w14:paraId="51255B17" w14:textId="6EF231B3" w:rsidR="00340B03" w:rsidRPr="00015654" w:rsidRDefault="006D200B" w:rsidP="00FA00D2">
      <w:pPr>
        <w:pStyle w:val="TCBNormalni"/>
        <w:numPr>
          <w:ilvl w:val="0"/>
          <w:numId w:val="14"/>
        </w:numPr>
      </w:pPr>
      <w:r>
        <w:t>z</w:t>
      </w:r>
      <w:r w:rsidR="00340B03" w:rsidRPr="00015654">
        <w:t>ákon č. 262/2006 Sb. Zákoník práce, ve znění pozdějších předpisů a některé další související zákony.</w:t>
      </w:r>
    </w:p>
    <w:p w14:paraId="21245DF8" w14:textId="3D7B83A0" w:rsidR="00340B03" w:rsidRPr="00015654" w:rsidRDefault="006D200B" w:rsidP="00FA00D2">
      <w:pPr>
        <w:pStyle w:val="TCBNormalni"/>
        <w:numPr>
          <w:ilvl w:val="0"/>
          <w:numId w:val="14"/>
        </w:numPr>
      </w:pPr>
      <w:r>
        <w:t>z</w:t>
      </w:r>
      <w:r w:rsidR="00340B03" w:rsidRPr="00015654">
        <w:t>ákon č. 309/2006 Sb., kterým se upravují další požadavky bezpečnosti a ochrany zdraví při práci v pracovněprávních vztazích a o zajištění bezpečnosti a ochrany zdraví při činnosti nebo poskytování služeb mimo pracovněprávní vztahy (zákon o zajištění dalších podmínek bezpečnosti a ochrany zdraví při práci).</w:t>
      </w:r>
    </w:p>
    <w:p w14:paraId="0B35BA0E" w14:textId="5810D64A" w:rsidR="00340B03" w:rsidRPr="00015654" w:rsidRDefault="006D200B" w:rsidP="00FA00D2">
      <w:pPr>
        <w:pStyle w:val="TCBNormalni"/>
        <w:numPr>
          <w:ilvl w:val="0"/>
          <w:numId w:val="14"/>
        </w:numPr>
      </w:pPr>
      <w:r>
        <w:t>n</w:t>
      </w:r>
      <w:r w:rsidR="00340B03" w:rsidRPr="00015654">
        <w:t>ařízení vlády č. 591/2006 Sb., o bližších minimálních požadavcích na bezpečnost a ochranu zdraví při práci na staveništích.</w:t>
      </w:r>
    </w:p>
    <w:p w14:paraId="272F5F17" w14:textId="0EAA71C9" w:rsidR="00340B03" w:rsidRPr="00015654" w:rsidRDefault="006D200B" w:rsidP="00FA00D2">
      <w:pPr>
        <w:pStyle w:val="TCBNormalni"/>
        <w:numPr>
          <w:ilvl w:val="0"/>
          <w:numId w:val="14"/>
        </w:numPr>
      </w:pPr>
      <w:r>
        <w:t>n</w:t>
      </w:r>
      <w:r w:rsidR="00340B03" w:rsidRPr="00015654">
        <w:t xml:space="preserve">ařízení vlády č. </w:t>
      </w:r>
      <w:r w:rsidR="00785548">
        <w:t>272/2011</w:t>
      </w:r>
      <w:r w:rsidR="00340B03" w:rsidRPr="00015654">
        <w:t xml:space="preserve"> Sb., o ochraně zdraví před nepříznivými účinky hluku a vibrací.</w:t>
      </w:r>
    </w:p>
    <w:p w14:paraId="5F5FAB14" w14:textId="6A87B175" w:rsidR="00340B03" w:rsidRPr="00015654" w:rsidRDefault="006D200B" w:rsidP="00FA00D2">
      <w:pPr>
        <w:pStyle w:val="TCBNormalni"/>
        <w:numPr>
          <w:ilvl w:val="0"/>
          <w:numId w:val="14"/>
        </w:numPr>
      </w:pPr>
      <w:r>
        <w:t>z</w:t>
      </w:r>
      <w:r w:rsidR="00340B03" w:rsidRPr="00015654">
        <w:t xml:space="preserve">ákon </w:t>
      </w:r>
      <w:r w:rsidR="0010557D" w:rsidRPr="0010557D">
        <w:t xml:space="preserve">č. </w:t>
      </w:r>
      <w:r w:rsidR="0010557D" w:rsidRPr="00247748">
        <w:t>361/2007 Sb</w:t>
      </w:r>
      <w:r w:rsidR="00340B03" w:rsidRPr="00247748">
        <w:t>.</w:t>
      </w:r>
      <w:r w:rsidR="00340B03" w:rsidRPr="00015654">
        <w:t xml:space="preserve"> kterým se stanoví podmínky ochrany zdraví zaměstnanců při práci</w:t>
      </w:r>
    </w:p>
    <w:p w14:paraId="2B9C3A83" w14:textId="14D17A87" w:rsidR="00916165" w:rsidRPr="00BA1400" w:rsidRDefault="006D200B" w:rsidP="00FA00D2">
      <w:pPr>
        <w:pStyle w:val="TCBNormalni"/>
        <w:numPr>
          <w:ilvl w:val="0"/>
          <w:numId w:val="14"/>
        </w:numPr>
      </w:pPr>
      <w:r>
        <w:t>n</w:t>
      </w:r>
      <w:r w:rsidR="00340B03" w:rsidRPr="00015654">
        <w:t xml:space="preserve">ařízení vlády </w:t>
      </w:r>
      <w:r w:rsidR="0010557D" w:rsidRPr="00247748">
        <w:t>č. 390/2021 Sb</w:t>
      </w:r>
      <w:r w:rsidR="00340B03" w:rsidRPr="00247748">
        <w:t>.,</w:t>
      </w:r>
      <w:r w:rsidR="00340B03" w:rsidRPr="00015654">
        <w:t xml:space="preserve"> </w:t>
      </w:r>
      <w:r w:rsidR="0010557D" w:rsidRPr="0010557D">
        <w:t>o bližších podmínkách poskytování osobních ochranných pracovních prostředků, mycích, čisticích a dezinfekčních prostředků</w:t>
      </w:r>
      <w:r w:rsidR="00340B03" w:rsidRPr="00015654">
        <w:t>.</w:t>
      </w:r>
    </w:p>
    <w:p w14:paraId="5633F59C" w14:textId="77777777" w:rsidR="00E1765A" w:rsidRDefault="00E1765A" w:rsidP="005B5A38">
      <w:pPr>
        <w:pStyle w:val="TCBNormalni"/>
        <w:rPr>
          <w:b/>
          <w:bCs/>
        </w:rPr>
      </w:pPr>
    </w:p>
    <w:p w14:paraId="1D74A283" w14:textId="2BF7A2F9" w:rsidR="00916165" w:rsidRPr="00AF6E67" w:rsidRDefault="009E433C" w:rsidP="005B5A38">
      <w:pPr>
        <w:pStyle w:val="TCBNormalni"/>
        <w:rPr>
          <w:b/>
          <w:bCs/>
        </w:rPr>
      </w:pPr>
      <w:r w:rsidRPr="00AF6E67">
        <w:rPr>
          <w:b/>
          <w:bCs/>
        </w:rPr>
        <w:t>Období v</w:t>
      </w:r>
      <w:r w:rsidR="00916165" w:rsidRPr="00AF6E67">
        <w:rPr>
          <w:b/>
          <w:bCs/>
        </w:rPr>
        <w:t>ýstavb</w:t>
      </w:r>
      <w:r w:rsidRPr="00AF6E67">
        <w:rPr>
          <w:b/>
          <w:bCs/>
        </w:rPr>
        <w:t>y</w:t>
      </w:r>
      <w:r w:rsidR="00916165" w:rsidRPr="00AF6E67">
        <w:rPr>
          <w:b/>
          <w:bCs/>
        </w:rPr>
        <w:t xml:space="preserve"> </w:t>
      </w:r>
    </w:p>
    <w:p w14:paraId="3EFC1D81" w14:textId="2E04312E" w:rsidR="003D758B" w:rsidRDefault="00EE03D4" w:rsidP="00F002D6">
      <w:pPr>
        <w:pStyle w:val="TCBNormalni"/>
        <w:rPr>
          <w:rFonts w:ascii="Arial" w:hAnsi="Arial" w:cs="Arial"/>
        </w:rPr>
      </w:pPr>
      <w:r w:rsidRPr="00EE03D4">
        <w:rPr>
          <w:rFonts w:ascii="Arial" w:hAnsi="Arial" w:cs="Arial"/>
        </w:rPr>
        <w:t xml:space="preserve">ZHOTOVITEL </w:t>
      </w:r>
      <w:r w:rsidR="00916165" w:rsidRPr="0098066F">
        <w:rPr>
          <w:rFonts w:ascii="Arial" w:hAnsi="Arial" w:cs="Arial"/>
        </w:rPr>
        <w:t>je povinen z hlediska BOZP ve smyslu zákoníku práce (</w:t>
      </w:r>
      <w:proofErr w:type="spellStart"/>
      <w:r w:rsidR="00916165" w:rsidRPr="0098066F">
        <w:rPr>
          <w:rFonts w:ascii="Arial" w:hAnsi="Arial" w:cs="Arial"/>
        </w:rPr>
        <w:t>z.č</w:t>
      </w:r>
      <w:proofErr w:type="spellEnd"/>
      <w:r w:rsidR="00916165" w:rsidRPr="0098066F">
        <w:rPr>
          <w:rFonts w:ascii="Arial" w:hAnsi="Arial" w:cs="Arial"/>
        </w:rPr>
        <w:t xml:space="preserve">. 262/2006 Sb.) a souvisejícího </w:t>
      </w:r>
      <w:proofErr w:type="spellStart"/>
      <w:r w:rsidR="00916165" w:rsidRPr="0098066F">
        <w:rPr>
          <w:rFonts w:ascii="Arial" w:hAnsi="Arial" w:cs="Arial"/>
        </w:rPr>
        <w:t>z.č</w:t>
      </w:r>
      <w:proofErr w:type="spellEnd"/>
      <w:r w:rsidR="00916165" w:rsidRPr="0098066F">
        <w:rPr>
          <w:rFonts w:ascii="Arial" w:hAnsi="Arial" w:cs="Arial"/>
        </w:rPr>
        <w:t xml:space="preserve">. 309/2006 Sb., upravujícím další požadavky BOZP (ve smyslu EHS), dodržovat zejména: </w:t>
      </w:r>
    </w:p>
    <w:p w14:paraId="763058BD" w14:textId="1444F9E3" w:rsidR="003D758B" w:rsidRDefault="00916165" w:rsidP="0098066F">
      <w:pPr>
        <w:pStyle w:val="TCBNormalni"/>
        <w:numPr>
          <w:ilvl w:val="0"/>
          <w:numId w:val="22"/>
        </w:numPr>
        <w:rPr>
          <w:rFonts w:ascii="Arial" w:hAnsi="Arial" w:cs="Arial"/>
        </w:rPr>
      </w:pPr>
      <w:r w:rsidRPr="0098066F">
        <w:rPr>
          <w:rFonts w:ascii="Arial" w:hAnsi="Arial" w:cs="Arial"/>
        </w:rPr>
        <w:t xml:space="preserve">NV č. 591/2006 Sb., o bližších minimálních požadavcích na BOZP při práci na staveništích., V č. </w:t>
      </w:r>
      <w:r w:rsidR="004F20F1" w:rsidRPr="0098066F">
        <w:rPr>
          <w:rFonts w:ascii="Arial" w:hAnsi="Arial" w:cs="Arial"/>
        </w:rPr>
        <w:t xml:space="preserve">361/2007 </w:t>
      </w:r>
      <w:r w:rsidRPr="0098066F">
        <w:rPr>
          <w:rFonts w:ascii="Arial" w:hAnsi="Arial" w:cs="Arial"/>
        </w:rPr>
        <w:t xml:space="preserve">Sb., kterým se stanoví podmínky ochrany zaměstnanců při práci, </w:t>
      </w:r>
    </w:p>
    <w:p w14:paraId="3FD9B700" w14:textId="77777777" w:rsidR="003D758B" w:rsidRDefault="00916165" w:rsidP="0098066F">
      <w:pPr>
        <w:pStyle w:val="TCBNormalni"/>
        <w:numPr>
          <w:ilvl w:val="0"/>
          <w:numId w:val="22"/>
        </w:numPr>
        <w:rPr>
          <w:rFonts w:ascii="Arial" w:hAnsi="Arial" w:cs="Arial"/>
        </w:rPr>
      </w:pPr>
      <w:r w:rsidRPr="0098066F">
        <w:rPr>
          <w:rFonts w:ascii="Arial" w:hAnsi="Arial" w:cs="Arial"/>
        </w:rPr>
        <w:t xml:space="preserve">z. č. 258/2000 Sb., o ochraně veřejného zdraví (ve znění pozdějších předpisů a zvláště NV č. </w:t>
      </w:r>
      <w:r w:rsidR="004F20F1" w:rsidRPr="0098066F">
        <w:rPr>
          <w:rFonts w:ascii="Arial" w:hAnsi="Arial" w:cs="Arial"/>
        </w:rPr>
        <w:t xml:space="preserve">272/2011 </w:t>
      </w:r>
      <w:r w:rsidRPr="0098066F">
        <w:rPr>
          <w:rFonts w:ascii="Arial" w:hAnsi="Arial" w:cs="Arial"/>
        </w:rPr>
        <w:t>o ochraně zdraví před nepříznivými účinky hluku a vibrací),</w:t>
      </w:r>
    </w:p>
    <w:p w14:paraId="774F9DCC" w14:textId="15B933F3" w:rsidR="00916165" w:rsidRPr="0098066F" w:rsidRDefault="00916165" w:rsidP="0098066F">
      <w:pPr>
        <w:pStyle w:val="TCBNormalni"/>
        <w:numPr>
          <w:ilvl w:val="0"/>
          <w:numId w:val="22"/>
        </w:numPr>
        <w:rPr>
          <w:rFonts w:ascii="Arial" w:hAnsi="Arial" w:cs="Arial"/>
        </w:rPr>
      </w:pPr>
      <w:proofErr w:type="spellStart"/>
      <w:r w:rsidRPr="0098066F">
        <w:rPr>
          <w:rFonts w:ascii="Arial" w:hAnsi="Arial" w:cs="Arial"/>
        </w:rPr>
        <w:t>vyhl</w:t>
      </w:r>
      <w:proofErr w:type="spellEnd"/>
      <w:r w:rsidRPr="0098066F">
        <w:rPr>
          <w:rFonts w:ascii="Arial" w:hAnsi="Arial" w:cs="Arial"/>
        </w:rPr>
        <w:t>. č.432/2003 Sb., kterou se stanoví podmínky pro zařazování prací do kategorií, limitní hodnoty ukazatelů biologických expozičních testů a náležitosti hlášení prací s azbestem a</w:t>
      </w:r>
      <w:r w:rsidR="002E385C">
        <w:rPr>
          <w:rFonts w:ascii="Arial" w:hAnsi="Arial" w:cs="Arial"/>
        </w:rPr>
        <w:t> </w:t>
      </w:r>
      <w:r w:rsidRPr="0098066F">
        <w:rPr>
          <w:rFonts w:ascii="Arial" w:hAnsi="Arial" w:cs="Arial"/>
        </w:rPr>
        <w:t>biologickými činiteli, NV č. 378/2001 Sb., kterým se stanoví bližší požadavky na bezpečný provoz a používání strojů, technických zařízení, přístrojů a nářadí. Zvýšenou pozornost je nutné věnovat práci s elektrickými zařízeními a se stavebními stroji. Na tyto stroje musí mít pracovníci příslušné oprávnění a kvalifikaci.</w:t>
      </w:r>
    </w:p>
    <w:p w14:paraId="60C3E0DE" w14:textId="3E5E4E24" w:rsidR="00916165" w:rsidRPr="0098066F" w:rsidRDefault="00916165" w:rsidP="00DA573C">
      <w:pPr>
        <w:pStyle w:val="TCBNormalni"/>
        <w:rPr>
          <w:rFonts w:ascii="Arial" w:hAnsi="Arial" w:cs="Arial"/>
        </w:rPr>
      </w:pPr>
      <w:r w:rsidRPr="0098066F">
        <w:rPr>
          <w:rFonts w:ascii="Arial" w:hAnsi="Arial" w:cs="Arial"/>
        </w:rPr>
        <w:t>Stavebně montážní práce bude provádět způsobilá odborná firma, jejíž zaměstnanci budou před zahájením prací seznámeni s technologickým postupem a s příslušnými bezpečnostními předpisy v souladu s platnou legislativou.</w:t>
      </w:r>
    </w:p>
    <w:p w14:paraId="63C0C5D5" w14:textId="1E8B4ADE" w:rsidR="00340B03" w:rsidRPr="0098066F" w:rsidRDefault="00340B03" w:rsidP="005B5A38">
      <w:pPr>
        <w:pStyle w:val="TCBNormalni"/>
        <w:rPr>
          <w:rFonts w:ascii="Arial" w:hAnsi="Arial" w:cs="Arial"/>
        </w:rPr>
      </w:pPr>
      <w:r w:rsidRPr="0098066F">
        <w:rPr>
          <w:rFonts w:ascii="Arial" w:hAnsi="Arial" w:cs="Arial"/>
        </w:rPr>
        <w:t xml:space="preserve">Před započetím jakýchkoliv zemních prací je nutné dotčený a zájmový prostor opětovně prověřit ohledně podzemních zařízení a případně je přesně vytýčit. Průběhy budou ověřovány ručně kopanými sondami. Zemní a výkopové práce, prováděné v těsné blízkosti provozovaných elektrických podzemních zařízení, je nutné realizovat výhradně ručně. Práci se strojním vybavením je nutné </w:t>
      </w:r>
      <w:r w:rsidRPr="0098066F">
        <w:rPr>
          <w:rFonts w:ascii="Arial" w:hAnsi="Arial" w:cs="Arial"/>
        </w:rPr>
        <w:lastRenderedPageBreak/>
        <w:t>přizpůsobit platným bezpečnostním předpisům a vyhláškám, zvláště v blízkosti elektrických zařízení pod napětím.</w:t>
      </w:r>
    </w:p>
    <w:p w14:paraId="2F36A2A6" w14:textId="07AADEFA" w:rsidR="00862361" w:rsidRPr="0098066F" w:rsidRDefault="00340B03" w:rsidP="00DA573C">
      <w:pPr>
        <w:pStyle w:val="TCBNormalni"/>
        <w:rPr>
          <w:rFonts w:ascii="Arial" w:hAnsi="Arial" w:cs="Arial"/>
        </w:rPr>
      </w:pPr>
      <w:r w:rsidRPr="0098066F">
        <w:rPr>
          <w:rFonts w:ascii="Arial" w:hAnsi="Arial" w:cs="Arial"/>
        </w:rPr>
        <w:t xml:space="preserve">Při případných odstraňovacích a bouracích prací na stávajících konstrukcích nebude použito trhavin. Práce musí být prováděny, tak aby nebyla ohrožena stabilita vlastní stavby nebo jiných staveb v těsném okolí a provozuschopnost sítí technického vybavení v dosahu bouracích prací, dle předem stanoveného podrobného technologického postupu, který zohlední průzkumem zjištěný skutečný stav stavby, zpracovaného způsobilým dodavatelem stavby v souladu s vyhláškou č. 499/2006 Sb. a </w:t>
      </w:r>
      <w:r w:rsidR="00E81139" w:rsidRPr="0098066F">
        <w:rPr>
          <w:rFonts w:ascii="Arial" w:hAnsi="Arial" w:cs="Arial"/>
        </w:rPr>
        <w:t xml:space="preserve">268/2009 </w:t>
      </w:r>
      <w:r w:rsidRPr="0098066F">
        <w:rPr>
          <w:rFonts w:ascii="Arial" w:hAnsi="Arial" w:cs="Arial"/>
        </w:rPr>
        <w:t xml:space="preserve">Sb. </w:t>
      </w:r>
      <w:r w:rsidR="00E81139" w:rsidRPr="0098066F">
        <w:rPr>
          <w:rFonts w:ascii="Arial" w:hAnsi="Arial" w:cs="Arial"/>
        </w:rPr>
        <w:t xml:space="preserve">A </w:t>
      </w:r>
      <w:r w:rsidRPr="0098066F">
        <w:rPr>
          <w:rFonts w:ascii="Arial" w:hAnsi="Arial" w:cs="Arial"/>
        </w:rPr>
        <w:t>všech dalších souvisejících i pozdějších změnových zákonů, vyhlášek či prováděcích předpisů.</w:t>
      </w:r>
    </w:p>
    <w:p w14:paraId="694A3C05" w14:textId="55929C14" w:rsidR="005B5A38" w:rsidRDefault="00F760E9" w:rsidP="00D65FAF">
      <w:pPr>
        <w:pStyle w:val="TCBNadpis1"/>
      </w:pPr>
      <w:bookmarkStart w:id="45" w:name="_Toc142307553"/>
      <w:r>
        <w:t>HLUK</w:t>
      </w:r>
      <w:bookmarkEnd w:id="45"/>
      <w:r>
        <w:t xml:space="preserve"> </w:t>
      </w:r>
    </w:p>
    <w:p w14:paraId="2C7A93EB" w14:textId="77777777" w:rsidR="006A3A3E" w:rsidRDefault="006A3A3E" w:rsidP="006A3A3E">
      <w:pPr>
        <w:pStyle w:val="TCBNormalni"/>
      </w:pPr>
      <w:r w:rsidRPr="00814627">
        <w:t xml:space="preserve">Úrovně hlukové zátěže </w:t>
      </w:r>
      <w:r>
        <w:t>nesmí</w:t>
      </w:r>
      <w:r w:rsidRPr="00814627">
        <w:t xml:space="preserve"> převyšovat maximální hygienické limity </w:t>
      </w:r>
      <w:r>
        <w:t xml:space="preserve">hluku </w:t>
      </w:r>
      <w:r w:rsidRPr="00814627">
        <w:t>dané především zákonem č. 258/2000 Sb. o ochraně veřejného zdraví v platném znění a nařízením vlády č. 272/2011 Sb.</w:t>
      </w:r>
      <w:r>
        <w:t>,</w:t>
      </w:r>
      <w:r w:rsidRPr="00814627">
        <w:t xml:space="preserve"> o ochraně zdraví před nepříznivými účinky hluku a vibrací v platném znění.</w:t>
      </w:r>
    </w:p>
    <w:p w14:paraId="78C51998" w14:textId="3864DE25" w:rsidR="005B5A38" w:rsidRPr="002F2D9E" w:rsidRDefault="005B5A38" w:rsidP="00D65FAF">
      <w:pPr>
        <w:pStyle w:val="TCBNadpis2"/>
      </w:pPr>
      <w:bookmarkStart w:id="46" w:name="_Toc142307554"/>
      <w:r w:rsidRPr="002F2D9E">
        <w:t>Hluk vně objektů</w:t>
      </w:r>
      <w:bookmarkEnd w:id="46"/>
      <w:r w:rsidRPr="002F2D9E">
        <w:t xml:space="preserve"> </w:t>
      </w:r>
    </w:p>
    <w:p w14:paraId="70BC4237" w14:textId="1D9F0665" w:rsidR="005B5A38" w:rsidRPr="002F2D9E" w:rsidRDefault="005B5A38" w:rsidP="006A3A3E">
      <w:pPr>
        <w:pStyle w:val="TCBNormalni"/>
      </w:pPr>
      <w:r w:rsidRPr="002F2D9E">
        <w:t>Teplárna se nachází ve městě v blízkosti bytové zástavby.</w:t>
      </w:r>
    </w:p>
    <w:p w14:paraId="36B9F225" w14:textId="4138D6AA" w:rsidR="005B5A38" w:rsidRPr="002F2D9E" w:rsidRDefault="005B5A38" w:rsidP="006A3A3E">
      <w:pPr>
        <w:pStyle w:val="TCBNormalni"/>
      </w:pPr>
      <w:r w:rsidRPr="002F2D9E">
        <w:t>Hlukové poměry v okolí jsou popsány v Příloze A.2</w:t>
      </w:r>
    </w:p>
    <w:p w14:paraId="21433C91" w14:textId="1444A4B6" w:rsidR="006A3A3E" w:rsidRPr="006A3A3E" w:rsidRDefault="005B5A38" w:rsidP="006A3A3E">
      <w:pPr>
        <w:pStyle w:val="TCBNormalni"/>
      </w:pPr>
      <w:r w:rsidRPr="002F2D9E">
        <w:t>Požadavky na hlukov</w:t>
      </w:r>
      <w:r w:rsidR="004C514E" w:rsidRPr="002F2D9E">
        <w:t>ou</w:t>
      </w:r>
      <w:r w:rsidRPr="002F2D9E">
        <w:t xml:space="preserve"> </w:t>
      </w:r>
      <w:r w:rsidR="0066385C" w:rsidRPr="002F2D9E">
        <w:t>zátěž,</w:t>
      </w:r>
      <w:r w:rsidR="004C514E" w:rsidRPr="002F2D9E">
        <w:t xml:space="preserve"> resp. dodržení nezvýšení hlukové </w:t>
      </w:r>
      <w:r w:rsidR="0066385C" w:rsidRPr="002F2D9E">
        <w:t>zátěže jsou</w:t>
      </w:r>
      <w:r w:rsidRPr="002F2D9E">
        <w:t xml:space="preserve"> popsány v příloze A 6.</w:t>
      </w:r>
      <w:r w:rsidRPr="006A3A3E">
        <w:t xml:space="preserve"> </w:t>
      </w:r>
    </w:p>
    <w:p w14:paraId="5C6F00E8" w14:textId="46FE1CAD" w:rsidR="005B5A38" w:rsidRPr="005B5A38" w:rsidRDefault="005B5A38" w:rsidP="00D65FAF">
      <w:pPr>
        <w:pStyle w:val="TCBNadpis2"/>
      </w:pPr>
      <w:bookmarkStart w:id="47" w:name="_Toc142307555"/>
      <w:r w:rsidRPr="005B5A38">
        <w:t>Hluk vnitřní prostředí</w:t>
      </w:r>
      <w:bookmarkEnd w:id="47"/>
      <w:r w:rsidRPr="005B5A38">
        <w:t xml:space="preserve"> </w:t>
      </w:r>
    </w:p>
    <w:p w14:paraId="251FEB97" w14:textId="4FECD427" w:rsidR="00933B78" w:rsidRDefault="00933B78" w:rsidP="0098066F">
      <w:pPr>
        <w:pStyle w:val="TCBNormalni"/>
      </w:pPr>
      <w:r>
        <w:t xml:space="preserve">ZHOTOVITEL </w:t>
      </w:r>
      <w:r>
        <w:tab/>
        <w:t>musí re</w:t>
      </w:r>
      <w:r w:rsidR="00461124">
        <w:t>s</w:t>
      </w:r>
      <w:r>
        <w:t xml:space="preserve">pektovat následující požadavky na hluk ve vnitřních prostorách: </w:t>
      </w:r>
    </w:p>
    <w:p w14:paraId="795753EC" w14:textId="67BF16C1" w:rsidR="005B5A38" w:rsidRPr="006A3A3E" w:rsidRDefault="005B5A38" w:rsidP="00FA00D2">
      <w:pPr>
        <w:pStyle w:val="TCBNormalni"/>
        <w:numPr>
          <w:ilvl w:val="0"/>
          <w:numId w:val="15"/>
        </w:numPr>
      </w:pPr>
      <w:r w:rsidRPr="006A3A3E">
        <w:t xml:space="preserve">Akustický tlak, měřený ve vzdálenosti 1 m od zařízení nebo od povrchu protihlukového krytu (ISO 3746) </w:t>
      </w:r>
      <w:proofErr w:type="spellStart"/>
      <w:r w:rsidRPr="006A3A3E">
        <w:t>LpA</w:t>
      </w:r>
      <w:proofErr w:type="spellEnd"/>
      <w:r w:rsidRPr="006A3A3E">
        <w:t xml:space="preserve"> </w:t>
      </w:r>
      <w:r w:rsidR="0066385C">
        <w:t xml:space="preserve">menší </w:t>
      </w:r>
      <w:r w:rsidR="0066385C" w:rsidRPr="006A3A3E">
        <w:t>než</w:t>
      </w:r>
      <w:r w:rsidRPr="006A3A3E">
        <w:t xml:space="preserve"> 85 dB</w:t>
      </w:r>
      <w:r w:rsidR="00240C1A">
        <w:t>.</w:t>
      </w:r>
    </w:p>
    <w:p w14:paraId="3A842535" w14:textId="28D8D7CF" w:rsidR="005B5A38" w:rsidRPr="006A3A3E" w:rsidRDefault="005B5A38" w:rsidP="00FA00D2">
      <w:pPr>
        <w:pStyle w:val="TCBNormalni"/>
        <w:numPr>
          <w:ilvl w:val="0"/>
          <w:numId w:val="15"/>
        </w:numPr>
      </w:pPr>
      <w:r w:rsidRPr="006A3A3E">
        <w:t xml:space="preserve">Vnitřní pracovní prostředí technologie </w:t>
      </w:r>
      <w:proofErr w:type="spellStart"/>
      <w:r w:rsidRPr="006A3A3E">
        <w:t>LAeq</w:t>
      </w:r>
      <w:proofErr w:type="spellEnd"/>
      <w:r w:rsidRPr="006A3A3E">
        <w:t xml:space="preserve">, </w:t>
      </w:r>
      <w:proofErr w:type="gramStart"/>
      <w:r w:rsidRPr="006A3A3E">
        <w:t>8h</w:t>
      </w:r>
      <w:proofErr w:type="gramEnd"/>
      <w:r w:rsidRPr="006A3A3E">
        <w:t xml:space="preserve"> menší než 80 dB</w:t>
      </w:r>
      <w:r w:rsidR="00240C1A">
        <w:t>.</w:t>
      </w:r>
    </w:p>
    <w:p w14:paraId="3248E30F" w14:textId="68C1A9C4" w:rsidR="006A3A3E" w:rsidRPr="006A3A3E" w:rsidRDefault="005B5A38" w:rsidP="000479E5">
      <w:pPr>
        <w:pStyle w:val="TCBNormalni"/>
        <w:numPr>
          <w:ilvl w:val="0"/>
          <w:numId w:val="15"/>
        </w:numPr>
      </w:pPr>
      <w:r w:rsidRPr="006A3A3E">
        <w:t xml:space="preserve">Vnitřní pracovní prostředí dozorna, kanceláře a laboratoř </w:t>
      </w:r>
      <w:proofErr w:type="spellStart"/>
      <w:r w:rsidRPr="006A3A3E">
        <w:t>LAeq</w:t>
      </w:r>
      <w:proofErr w:type="spellEnd"/>
      <w:r w:rsidRPr="006A3A3E">
        <w:t xml:space="preserve">, </w:t>
      </w:r>
      <w:proofErr w:type="gramStart"/>
      <w:r w:rsidRPr="006A3A3E">
        <w:t>8h</w:t>
      </w:r>
      <w:proofErr w:type="gramEnd"/>
      <w:r w:rsidRPr="006A3A3E">
        <w:t xml:space="preserve"> menší než 50 dB</w:t>
      </w:r>
      <w:r w:rsidR="00240C1A">
        <w:t>.</w:t>
      </w:r>
    </w:p>
    <w:p w14:paraId="16D04540" w14:textId="7515ECD2" w:rsidR="00A93F41" w:rsidRDefault="00C9032D" w:rsidP="00D65FAF">
      <w:pPr>
        <w:pStyle w:val="TCBNadpis1"/>
      </w:pPr>
      <w:bookmarkStart w:id="48" w:name="_Toc142307556"/>
      <w:r>
        <w:t>POŽÁRNÍ BEZPEČNOST</w:t>
      </w:r>
      <w:bookmarkEnd w:id="48"/>
      <w:r>
        <w:t xml:space="preserve"> </w:t>
      </w:r>
    </w:p>
    <w:p w14:paraId="1D10974C" w14:textId="088756E8" w:rsidR="008E6965" w:rsidRDefault="00C30EA6" w:rsidP="00A93F41">
      <w:pPr>
        <w:pStyle w:val="TCBNormalni"/>
      </w:pPr>
      <w:r>
        <w:t>Základy požární bezpečnosti jsou dány Požárně Bezpečnostním řešením</w:t>
      </w:r>
      <w:r w:rsidR="001E6A57">
        <w:t>.</w:t>
      </w:r>
      <w:r w:rsidRPr="0061736F">
        <w:t xml:space="preserve"> Viz </w:t>
      </w:r>
      <w:r w:rsidR="0066385C" w:rsidRPr="0061736F">
        <w:t>příloha PBŘ</w:t>
      </w:r>
      <w:r w:rsidR="0061736F">
        <w:t xml:space="preserve"> v dokumentaci pro </w:t>
      </w:r>
      <w:r w:rsidR="002C058D">
        <w:t>S</w:t>
      </w:r>
      <w:r w:rsidR="0061736F">
        <w:t>tavební povolení</w:t>
      </w:r>
      <w:r w:rsidR="002C058D">
        <w:t>.</w:t>
      </w:r>
    </w:p>
    <w:p w14:paraId="1A065B45" w14:textId="26B6076C" w:rsidR="00C9032D" w:rsidRPr="00D65FAF" w:rsidRDefault="00C9032D" w:rsidP="00D65FAF">
      <w:pPr>
        <w:pStyle w:val="TCBNadpis1"/>
      </w:pPr>
      <w:bookmarkStart w:id="49" w:name="_Toc142307557"/>
      <w:r w:rsidRPr="00D65FAF">
        <w:t>JINÉ POŽADAVKY</w:t>
      </w:r>
      <w:bookmarkEnd w:id="49"/>
    </w:p>
    <w:p w14:paraId="1E39A4AB" w14:textId="7A603EB7" w:rsidR="006F5D61" w:rsidRDefault="0066385C" w:rsidP="00D65FAF">
      <w:pPr>
        <w:pStyle w:val="TCBNadpis2"/>
      </w:pPr>
      <w:bookmarkStart w:id="50" w:name="_Toc142307558"/>
      <w:r>
        <w:t>Použité jednotky</w:t>
      </w:r>
      <w:bookmarkEnd w:id="50"/>
    </w:p>
    <w:tbl>
      <w:tblPr>
        <w:tblW w:w="9212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173"/>
        <w:gridCol w:w="4039"/>
      </w:tblGrid>
      <w:tr w:rsidR="006F5D61" w:rsidRPr="00DF001D" w14:paraId="34EA0C1D" w14:textId="77777777" w:rsidTr="00BB3C2B">
        <w:trPr>
          <w:tblHeader/>
        </w:trPr>
        <w:tc>
          <w:tcPr>
            <w:tcW w:w="5173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246F039F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Druh</w:t>
            </w:r>
          </w:p>
        </w:tc>
        <w:tc>
          <w:tcPr>
            <w:tcW w:w="4039" w:type="dxa"/>
            <w:tcBorders>
              <w:top w:val="nil"/>
              <w:left w:val="nil"/>
              <w:bottom w:val="single" w:sz="6" w:space="0" w:color="auto"/>
              <w:right w:val="nil"/>
            </w:tcBorders>
          </w:tcPr>
          <w:p w14:paraId="51EAB9E3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Jednotka měření</w:t>
            </w:r>
          </w:p>
        </w:tc>
      </w:tr>
      <w:tr w:rsidR="006F5D61" w:rsidRPr="00DF001D" w14:paraId="128078A9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11DF756D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Elektrické napětí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44A8959D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 xml:space="preserve">V, </w:t>
            </w:r>
            <w:proofErr w:type="spellStart"/>
            <w:r w:rsidRPr="00DF001D">
              <w:rPr>
                <w:rFonts w:asciiTheme="minorBidi" w:hAnsiTheme="minorBidi"/>
                <w:sz w:val="20"/>
                <w:szCs w:val="20"/>
              </w:rPr>
              <w:t>kV</w:t>
            </w:r>
            <w:proofErr w:type="spellEnd"/>
          </w:p>
        </w:tc>
      </w:tr>
      <w:tr w:rsidR="006F5D61" w:rsidRPr="00DF001D" w14:paraId="0E1C3C0A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65A1AFF4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Elektrický proud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06E80533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A, mA</w:t>
            </w:r>
          </w:p>
        </w:tc>
      </w:tr>
      <w:tr w:rsidR="006F5D61" w:rsidRPr="00DF001D" w14:paraId="3A4D6433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6C37FC2F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Energie, práce, teplo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3AD28BE3" w14:textId="1CB7CAA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 xml:space="preserve">J, </w:t>
            </w:r>
            <w:proofErr w:type="spellStart"/>
            <w:r w:rsidRPr="00DF001D">
              <w:rPr>
                <w:rFonts w:asciiTheme="minorBidi" w:hAnsiTheme="minorBidi"/>
                <w:sz w:val="20"/>
                <w:szCs w:val="20"/>
              </w:rPr>
              <w:t>kJ</w:t>
            </w:r>
            <w:proofErr w:type="spellEnd"/>
            <w:r w:rsidRPr="00DF001D">
              <w:rPr>
                <w:rFonts w:asciiTheme="minorBidi" w:hAnsiTheme="minorBidi"/>
                <w:sz w:val="20"/>
                <w:szCs w:val="20"/>
              </w:rPr>
              <w:t>, MJ</w:t>
            </w:r>
            <w:r w:rsidR="00B00816" w:rsidRPr="00DF001D">
              <w:rPr>
                <w:rFonts w:asciiTheme="minorBidi" w:hAnsiTheme="minorBidi"/>
                <w:sz w:val="20"/>
                <w:szCs w:val="20"/>
              </w:rPr>
              <w:t>, kWh/</w:t>
            </w:r>
            <w:proofErr w:type="spellStart"/>
            <w:r w:rsidR="00B00816" w:rsidRPr="00DF001D">
              <w:rPr>
                <w:rFonts w:asciiTheme="minorBidi" w:hAnsiTheme="minorBidi"/>
                <w:sz w:val="20"/>
                <w:szCs w:val="20"/>
              </w:rPr>
              <w:t>MWh</w:t>
            </w:r>
            <w:proofErr w:type="spellEnd"/>
          </w:p>
        </w:tc>
      </w:tr>
      <w:tr w:rsidR="006F5D61" w:rsidRPr="00DF001D" w14:paraId="294BD0C8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4609BF1C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Hladina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7EF5730E" w14:textId="5755568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proofErr w:type="gramStart"/>
            <w:r w:rsidRPr="00DF001D">
              <w:rPr>
                <w:rFonts w:asciiTheme="minorBidi" w:hAnsiTheme="minorBidi"/>
                <w:sz w:val="20"/>
                <w:szCs w:val="20"/>
              </w:rPr>
              <w:t>0 - 100</w:t>
            </w:r>
            <w:proofErr w:type="gramEnd"/>
            <w:r w:rsidRPr="00DF001D">
              <w:rPr>
                <w:rFonts w:asciiTheme="minorBidi" w:hAnsiTheme="minorBidi"/>
                <w:sz w:val="20"/>
                <w:szCs w:val="20"/>
              </w:rPr>
              <w:t>%, m</w:t>
            </w:r>
            <w:r w:rsidR="003C14EF">
              <w:rPr>
                <w:rFonts w:asciiTheme="minorBidi" w:hAnsiTheme="minorBidi"/>
                <w:sz w:val="20"/>
                <w:szCs w:val="20"/>
              </w:rPr>
              <w:t>, cm</w:t>
            </w:r>
          </w:p>
        </w:tc>
      </w:tr>
      <w:tr w:rsidR="006F5D61" w:rsidRPr="00DF001D" w14:paraId="162B9313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5C954353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Hluk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6544A99B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dB(A)</w:t>
            </w:r>
          </w:p>
        </w:tc>
      </w:tr>
      <w:tr w:rsidR="006F5D61" w:rsidRPr="00DF001D" w14:paraId="5322AF80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20B60BBB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Hmotnost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02ECD7E2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mg, g, kg, t</w:t>
            </w:r>
          </w:p>
        </w:tc>
      </w:tr>
      <w:tr w:rsidR="006F5D61" w:rsidRPr="00DF001D" w14:paraId="3EBCEAC5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74B39665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Kmitočet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289D89D1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Hz</w:t>
            </w:r>
          </w:p>
        </w:tc>
      </w:tr>
      <w:tr w:rsidR="006F5D61" w:rsidRPr="00DF001D" w14:paraId="45A9FF48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70876B38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Koncentrace, složení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16293384" w14:textId="5B3B84F5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 xml:space="preserve">% </w:t>
            </w:r>
            <w:proofErr w:type="spellStart"/>
            <w:r w:rsidRPr="00DF001D">
              <w:rPr>
                <w:rFonts w:asciiTheme="minorBidi" w:hAnsiTheme="minorBidi"/>
                <w:sz w:val="20"/>
                <w:szCs w:val="20"/>
              </w:rPr>
              <w:t>obj</w:t>
            </w:r>
            <w:proofErr w:type="spellEnd"/>
            <w:r w:rsidRPr="00DF001D">
              <w:rPr>
                <w:rFonts w:asciiTheme="minorBidi" w:hAnsiTheme="minorBidi"/>
                <w:sz w:val="20"/>
                <w:szCs w:val="20"/>
              </w:rPr>
              <w:t>.</w:t>
            </w:r>
            <w:r w:rsidR="008572AA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r w:rsidRPr="00DF001D">
              <w:rPr>
                <w:rFonts w:asciiTheme="minorBidi" w:hAnsiTheme="minorBidi"/>
                <w:sz w:val="20"/>
                <w:szCs w:val="20"/>
              </w:rPr>
              <w:t>% hm, mg/l, mg/m</w:t>
            </w:r>
            <w:r w:rsidRPr="00DF001D">
              <w:rPr>
                <w:rFonts w:asciiTheme="minorBidi" w:hAnsiTheme="minorBidi"/>
                <w:sz w:val="20"/>
                <w:szCs w:val="20"/>
                <w:vertAlign w:val="superscript"/>
              </w:rPr>
              <w:t>3</w:t>
            </w:r>
            <w:r w:rsidRPr="00DF001D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r w:rsidRPr="00DF001D">
              <w:rPr>
                <w:rFonts w:asciiTheme="minorBidi" w:eastAsia="Symbol" w:hAnsiTheme="minorBidi" w:cs="Symbol"/>
                <w:sz w:val="20"/>
                <w:szCs w:val="20"/>
              </w:rPr>
              <w:t>m</w:t>
            </w:r>
            <w:r w:rsidRPr="00DF001D">
              <w:rPr>
                <w:rFonts w:asciiTheme="minorBidi" w:hAnsiTheme="minorBidi"/>
                <w:sz w:val="20"/>
                <w:szCs w:val="20"/>
              </w:rPr>
              <w:t>g/m</w:t>
            </w:r>
            <w:r w:rsidRPr="00DF001D">
              <w:rPr>
                <w:rFonts w:asciiTheme="minorBidi" w:hAnsiTheme="minorBidi"/>
                <w:sz w:val="20"/>
                <w:szCs w:val="20"/>
                <w:vertAlign w:val="superscript"/>
              </w:rPr>
              <w:t>3</w:t>
            </w:r>
            <w:r w:rsidRPr="00DF001D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r w:rsidRPr="00DF001D">
              <w:rPr>
                <w:rFonts w:asciiTheme="minorBidi" w:eastAsia="Symbol" w:hAnsiTheme="minorBidi" w:cs="Symbol"/>
                <w:sz w:val="20"/>
                <w:szCs w:val="20"/>
              </w:rPr>
              <w:t>m</w:t>
            </w:r>
            <w:r w:rsidRPr="00DF001D">
              <w:rPr>
                <w:rFonts w:asciiTheme="minorBidi" w:hAnsiTheme="minorBidi"/>
                <w:sz w:val="20"/>
                <w:szCs w:val="20"/>
              </w:rPr>
              <w:t>g/kg</w:t>
            </w:r>
          </w:p>
        </w:tc>
      </w:tr>
      <w:tr w:rsidR="006F5D61" w:rsidRPr="00DF001D" w14:paraId="228A0F3C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25B34D11" w14:textId="6BC04333" w:rsidR="00490084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 xml:space="preserve">Množství, spotřeba, tok  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6AA04BD5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m</w:t>
            </w:r>
            <w:r w:rsidRPr="00DF001D">
              <w:rPr>
                <w:rFonts w:asciiTheme="minorBidi" w:hAnsiTheme="minorBidi"/>
                <w:sz w:val="20"/>
                <w:szCs w:val="20"/>
                <w:vertAlign w:val="superscript"/>
              </w:rPr>
              <w:t>3</w:t>
            </w:r>
            <w:r w:rsidRPr="00DF001D">
              <w:rPr>
                <w:rFonts w:asciiTheme="minorBidi" w:hAnsiTheme="minorBidi"/>
                <w:sz w:val="20"/>
                <w:szCs w:val="20"/>
              </w:rPr>
              <w:t>/hod, Nm</w:t>
            </w:r>
            <w:r w:rsidRPr="00DF001D">
              <w:rPr>
                <w:rFonts w:asciiTheme="minorBidi" w:hAnsiTheme="minorBidi"/>
                <w:sz w:val="20"/>
                <w:szCs w:val="20"/>
                <w:vertAlign w:val="superscript"/>
              </w:rPr>
              <w:t>3</w:t>
            </w:r>
            <w:r w:rsidRPr="00DF001D">
              <w:rPr>
                <w:rFonts w:asciiTheme="minorBidi" w:hAnsiTheme="minorBidi"/>
                <w:sz w:val="20"/>
                <w:szCs w:val="20"/>
              </w:rPr>
              <w:t>/hod, kg/s, kg/hod, t/hod, t/rok</w:t>
            </w:r>
          </w:p>
        </w:tc>
      </w:tr>
      <w:tr w:rsidR="006F5D61" w:rsidRPr="00DF001D" w14:paraId="55251E80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25773702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Objem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698602C5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m</w:t>
            </w:r>
            <w:r w:rsidRPr="00DF001D">
              <w:rPr>
                <w:rFonts w:asciiTheme="minorBidi" w:hAnsiTheme="minorBidi"/>
                <w:sz w:val="20"/>
                <w:szCs w:val="20"/>
                <w:vertAlign w:val="superscript"/>
              </w:rPr>
              <w:t>3</w:t>
            </w:r>
          </w:p>
        </w:tc>
      </w:tr>
      <w:tr w:rsidR="006F5D61" w:rsidRPr="00DF001D" w14:paraId="2CBD486C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0C0FF3AA" w14:textId="284D696A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lastRenderedPageBreak/>
              <w:t>Objem plynů za normálních podmínek</w:t>
            </w:r>
            <w:r w:rsidR="00BC751D">
              <w:rPr>
                <w:rFonts w:asciiTheme="minorBidi" w:hAnsiTheme="minorBidi"/>
                <w:sz w:val="20"/>
                <w:szCs w:val="20"/>
              </w:rPr>
              <w:t>,</w:t>
            </w:r>
            <w:r w:rsidRPr="00DF001D">
              <w:rPr>
                <w:rFonts w:asciiTheme="minorBidi" w:hAnsiTheme="minorBidi"/>
                <w:sz w:val="20"/>
                <w:szCs w:val="20"/>
              </w:rPr>
              <w:t xml:space="preserve"> tlak 1,0132 bar, teplota </w:t>
            </w:r>
            <w:proofErr w:type="gramStart"/>
            <w:r w:rsidRPr="00DF001D">
              <w:rPr>
                <w:rFonts w:asciiTheme="minorBidi" w:hAnsiTheme="minorBidi"/>
                <w:sz w:val="20"/>
                <w:szCs w:val="20"/>
              </w:rPr>
              <w:t>0°C</w:t>
            </w:r>
            <w:proofErr w:type="gramEnd"/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5B036818" w14:textId="652265AF" w:rsidR="006F5D61" w:rsidRPr="006F70DB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Nm</w:t>
            </w:r>
            <w:r w:rsidRPr="00DF001D">
              <w:rPr>
                <w:rFonts w:asciiTheme="minorBidi" w:hAnsiTheme="minorBidi"/>
                <w:sz w:val="20"/>
                <w:szCs w:val="20"/>
                <w:vertAlign w:val="superscript"/>
              </w:rPr>
              <w:t>3</w:t>
            </w:r>
            <w:r w:rsidR="006F70DB">
              <w:rPr>
                <w:rFonts w:asciiTheme="minorBidi" w:hAnsiTheme="minorBidi"/>
                <w:sz w:val="20"/>
                <w:szCs w:val="20"/>
                <w:vertAlign w:val="superscript"/>
              </w:rPr>
              <w:t xml:space="preserve"> </w:t>
            </w:r>
            <w:r w:rsidR="006F70DB">
              <w:rPr>
                <w:rFonts w:asciiTheme="minorBidi" w:hAnsiTheme="minorBidi"/>
                <w:sz w:val="20"/>
                <w:szCs w:val="20"/>
              </w:rPr>
              <w:t>(</w:t>
            </w:r>
            <w:r w:rsidR="00240C1A">
              <w:rPr>
                <w:rFonts w:asciiTheme="minorBidi" w:hAnsiTheme="minorBidi"/>
                <w:sz w:val="20"/>
                <w:szCs w:val="20"/>
              </w:rPr>
              <w:t>n</w:t>
            </w:r>
            <w:r w:rsidR="006F70DB">
              <w:rPr>
                <w:rFonts w:asciiTheme="minorBidi" w:hAnsiTheme="minorBidi"/>
                <w:sz w:val="20"/>
                <w:szCs w:val="20"/>
              </w:rPr>
              <w:t>ormální podmínky)</w:t>
            </w:r>
          </w:p>
        </w:tc>
      </w:tr>
      <w:tr w:rsidR="006F5D61" w:rsidRPr="00DF001D" w14:paraId="65A20E0E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749019B1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Otáčky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57369FEC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s</w:t>
            </w:r>
            <w:r w:rsidRPr="00DF001D">
              <w:rPr>
                <w:rFonts w:asciiTheme="minorBidi" w:hAnsiTheme="minorBidi"/>
                <w:sz w:val="20"/>
                <w:szCs w:val="20"/>
                <w:vertAlign w:val="superscript"/>
              </w:rPr>
              <w:t>-1</w:t>
            </w:r>
            <w:r w:rsidRPr="00DF001D">
              <w:rPr>
                <w:rFonts w:asciiTheme="minorBidi" w:hAnsiTheme="minorBidi"/>
                <w:sz w:val="20"/>
                <w:szCs w:val="20"/>
              </w:rPr>
              <w:t>, min</w:t>
            </w:r>
            <w:r w:rsidRPr="00DF001D">
              <w:rPr>
                <w:rFonts w:asciiTheme="minorBidi" w:hAnsiTheme="minorBidi"/>
                <w:sz w:val="20"/>
                <w:szCs w:val="20"/>
                <w:vertAlign w:val="superscript"/>
              </w:rPr>
              <w:t>-1</w:t>
            </w:r>
          </w:p>
        </w:tc>
      </w:tr>
      <w:tr w:rsidR="006F5D61" w:rsidRPr="00DF001D" w14:paraId="22C46D31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15020974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Teplota, teplotní rozdíl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0A315CDE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°C</w:t>
            </w:r>
          </w:p>
        </w:tc>
      </w:tr>
      <w:tr w:rsidR="006F5D61" w:rsidRPr="00DF001D" w14:paraId="07AE18C3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649DC1A6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 xml:space="preserve">Tlak 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131AD6C6" w14:textId="3CD1D3C9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proofErr w:type="spellStart"/>
            <w:r w:rsidRPr="00DF001D">
              <w:rPr>
                <w:rFonts w:asciiTheme="minorBidi" w:hAnsiTheme="minorBidi"/>
                <w:sz w:val="20"/>
                <w:szCs w:val="20"/>
              </w:rPr>
              <w:t>MPa</w:t>
            </w:r>
            <w:proofErr w:type="spellEnd"/>
            <w:r w:rsidRPr="00DF001D">
              <w:rPr>
                <w:rFonts w:asciiTheme="minorBidi" w:hAnsiTheme="minorBidi"/>
                <w:sz w:val="20"/>
                <w:szCs w:val="20"/>
              </w:rPr>
              <w:t>(g</w:t>
            </w:r>
            <w:r w:rsidR="003443FD">
              <w:rPr>
                <w:rFonts w:asciiTheme="minorBidi" w:hAnsiTheme="minorBidi"/>
                <w:sz w:val="20"/>
                <w:szCs w:val="20"/>
              </w:rPr>
              <w:t>)</w:t>
            </w:r>
            <w:r w:rsidRPr="00DF001D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Pr="00DF001D">
              <w:rPr>
                <w:rFonts w:asciiTheme="minorBidi" w:hAnsiTheme="minorBidi"/>
                <w:sz w:val="20"/>
                <w:szCs w:val="20"/>
              </w:rPr>
              <w:t>MPa</w:t>
            </w:r>
            <w:proofErr w:type="spellEnd"/>
            <w:r w:rsidRPr="00DF001D">
              <w:rPr>
                <w:rFonts w:asciiTheme="minorBidi" w:hAnsiTheme="minorBidi"/>
                <w:sz w:val="20"/>
                <w:szCs w:val="20"/>
              </w:rPr>
              <w:t>(a)</w:t>
            </w:r>
            <w:r w:rsidR="00952C03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="00952C03">
              <w:rPr>
                <w:rFonts w:asciiTheme="minorBidi" w:hAnsiTheme="minorBidi"/>
                <w:sz w:val="20"/>
                <w:szCs w:val="20"/>
              </w:rPr>
              <w:t>kPa</w:t>
            </w:r>
            <w:proofErr w:type="spellEnd"/>
            <w:r w:rsidR="00952C03">
              <w:rPr>
                <w:rFonts w:asciiTheme="minorBidi" w:hAnsiTheme="minorBidi"/>
                <w:sz w:val="20"/>
                <w:szCs w:val="20"/>
              </w:rPr>
              <w:t>(g)</w:t>
            </w:r>
            <w:r w:rsidR="005A3376">
              <w:rPr>
                <w:rFonts w:asciiTheme="minorBidi" w:hAnsiTheme="minorBidi"/>
                <w:sz w:val="20"/>
                <w:szCs w:val="20"/>
              </w:rPr>
              <w:t xml:space="preserve">, </w:t>
            </w:r>
            <w:proofErr w:type="spellStart"/>
            <w:r w:rsidR="005A3376">
              <w:rPr>
                <w:rFonts w:asciiTheme="minorBidi" w:hAnsiTheme="minorBidi"/>
                <w:sz w:val="20"/>
                <w:szCs w:val="20"/>
              </w:rPr>
              <w:t>kPa</w:t>
            </w:r>
            <w:proofErr w:type="spellEnd"/>
            <w:r w:rsidR="005A3376">
              <w:rPr>
                <w:rFonts w:asciiTheme="minorBidi" w:hAnsiTheme="minorBidi"/>
                <w:sz w:val="20"/>
                <w:szCs w:val="20"/>
              </w:rPr>
              <w:t>(a)</w:t>
            </w:r>
          </w:p>
        </w:tc>
      </w:tr>
      <w:tr w:rsidR="006F5D61" w:rsidRPr="00DF001D" w14:paraId="53C9A20F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3CF8B879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Vodivost (elektrická)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2CC9C64F" w14:textId="77777777" w:rsidR="006F5D61" w:rsidRPr="00DF001D" w:rsidRDefault="006F5D61" w:rsidP="00862361">
            <w:pPr>
              <w:spacing w:after="0"/>
              <w:jc w:val="left"/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eastAsia="Arial" w:hAnsiTheme="minorBidi" w:cs="Arial"/>
                <w:sz w:val="20"/>
                <w:szCs w:val="20"/>
              </w:rPr>
              <w:t>µ</w:t>
            </w:r>
            <w:r w:rsidRPr="00DF001D">
              <w:rPr>
                <w:rFonts w:asciiTheme="minorBidi" w:hAnsiTheme="minorBidi"/>
                <w:sz w:val="20"/>
                <w:szCs w:val="20"/>
              </w:rPr>
              <w:t>S/m</w:t>
            </w:r>
          </w:p>
        </w:tc>
      </w:tr>
      <w:tr w:rsidR="006F5D61" w:rsidRPr="00DF001D" w14:paraId="3BB9DDD3" w14:textId="77777777" w:rsidTr="00C30EA6">
        <w:tc>
          <w:tcPr>
            <w:tcW w:w="5173" w:type="dxa"/>
            <w:tcBorders>
              <w:top w:val="nil"/>
              <w:left w:val="nil"/>
              <w:bottom w:val="nil"/>
              <w:right w:val="nil"/>
            </w:tcBorders>
          </w:tcPr>
          <w:p w14:paraId="795AFFB9" w14:textId="77777777" w:rsidR="006F5D61" w:rsidRPr="00DF001D" w:rsidRDefault="006F5D61" w:rsidP="00862361">
            <w:pPr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Výkon, tepelný tok</w:t>
            </w:r>
          </w:p>
        </w:tc>
        <w:tc>
          <w:tcPr>
            <w:tcW w:w="4039" w:type="dxa"/>
            <w:tcBorders>
              <w:top w:val="nil"/>
              <w:left w:val="nil"/>
              <w:bottom w:val="nil"/>
              <w:right w:val="nil"/>
            </w:tcBorders>
          </w:tcPr>
          <w:p w14:paraId="33115A16" w14:textId="77777777" w:rsidR="006F5D61" w:rsidRPr="00DF001D" w:rsidRDefault="006F5D61" w:rsidP="00862361">
            <w:pPr>
              <w:rPr>
                <w:rFonts w:asciiTheme="minorBidi" w:hAnsiTheme="minorBidi"/>
                <w:sz w:val="20"/>
                <w:szCs w:val="20"/>
              </w:rPr>
            </w:pPr>
            <w:r w:rsidRPr="00DF001D">
              <w:rPr>
                <w:rFonts w:asciiTheme="minorBidi" w:hAnsiTheme="minorBidi"/>
                <w:sz w:val="20"/>
                <w:szCs w:val="20"/>
              </w:rPr>
              <w:t>W, kW, MW</w:t>
            </w:r>
          </w:p>
        </w:tc>
      </w:tr>
    </w:tbl>
    <w:p w14:paraId="747E0D6A" w14:textId="05008850" w:rsidR="00354C79" w:rsidRPr="00B76313" w:rsidRDefault="00354C79" w:rsidP="00D65FAF">
      <w:pPr>
        <w:pStyle w:val="TCBNadpis2"/>
      </w:pPr>
      <w:bookmarkStart w:id="51" w:name="_Toc116114066"/>
      <w:bookmarkStart w:id="52" w:name="_Toc116278867"/>
      <w:bookmarkStart w:id="53" w:name="_Toc116791258"/>
      <w:bookmarkStart w:id="54" w:name="_Toc116958291"/>
      <w:bookmarkStart w:id="55" w:name="_Toc141683014"/>
      <w:bookmarkStart w:id="56" w:name="_Toc142307559"/>
      <w:r w:rsidRPr="00B76313">
        <w:t>Systém jednotného značení</w:t>
      </w:r>
      <w:bookmarkEnd w:id="51"/>
      <w:bookmarkEnd w:id="52"/>
      <w:bookmarkEnd w:id="53"/>
      <w:bookmarkEnd w:id="54"/>
      <w:bookmarkEnd w:id="55"/>
      <w:r w:rsidR="00C73438">
        <w:t xml:space="preserve"> KKS a jeho aplikace</w:t>
      </w:r>
      <w:bookmarkEnd w:id="56"/>
    </w:p>
    <w:p w14:paraId="7DBB440B" w14:textId="570EBCB8" w:rsidR="00C73438" w:rsidRDefault="00354C79" w:rsidP="00354C79">
      <w:pPr>
        <w:pStyle w:val="TCBNormalni"/>
      </w:pPr>
      <w:r w:rsidRPr="00B76313">
        <w:t xml:space="preserve">Veškeré značení nově dodaného zařízení bude provedeno dle zvyklostí a požadavků </w:t>
      </w:r>
      <w:r w:rsidR="0066385C">
        <w:rPr>
          <w:smallCaps/>
        </w:rPr>
        <w:t>OBJEDNATELE</w:t>
      </w:r>
      <w:r w:rsidR="0066385C" w:rsidRPr="00B76313">
        <w:t xml:space="preserve"> – bude</w:t>
      </w:r>
      <w:r w:rsidRPr="00B76313">
        <w:t xml:space="preserve"> použit systém KKS</w:t>
      </w:r>
      <w:r w:rsidR="00DF001D">
        <w:t>.</w:t>
      </w:r>
    </w:p>
    <w:p w14:paraId="26C6F763" w14:textId="5DE8BB8D" w:rsidR="00C73438" w:rsidRDefault="00C73438" w:rsidP="00DF001D">
      <w:pPr>
        <w:pStyle w:val="TCBNormalni"/>
      </w:pPr>
      <w:r w:rsidRPr="00B76313">
        <w:t xml:space="preserve">KKS bude </w:t>
      </w:r>
      <w:r w:rsidR="0066385C" w:rsidRPr="00B76313">
        <w:t>využit ve</w:t>
      </w:r>
      <w:r w:rsidRPr="00B76313">
        <w:t xml:space="preserve"> veškeré projektové dokumentaci zabezpečované </w:t>
      </w:r>
      <w:r w:rsidR="0066385C" w:rsidRPr="00B76313">
        <w:t>ZHOTOVITELEM i</w:t>
      </w:r>
      <w:r w:rsidRPr="00B76313">
        <w:t xml:space="preserve"> pro fyzické označení dodaného zařízení při realizaci.</w:t>
      </w:r>
    </w:p>
    <w:p w14:paraId="46E5F98C" w14:textId="3C93643A" w:rsidR="002C2C0D" w:rsidRPr="00B76313" w:rsidRDefault="002C2C0D" w:rsidP="00DF001D">
      <w:pPr>
        <w:pStyle w:val="TCBNormalni"/>
      </w:pPr>
      <w:r>
        <w:t>OBJEDNATEL disponuj</w:t>
      </w:r>
      <w:r w:rsidR="001E3C25">
        <w:t>e</w:t>
      </w:r>
      <w:r>
        <w:t xml:space="preserve"> interní směrnici o používání KKS značení. </w:t>
      </w:r>
      <w:proofErr w:type="gramStart"/>
      <w:r w:rsidR="00C17B50">
        <w:t xml:space="preserve">Metodika </w:t>
      </w:r>
      <w:r w:rsidR="00DF001D">
        <w:t>- viz</w:t>
      </w:r>
      <w:proofErr w:type="gramEnd"/>
      <w:r w:rsidR="00DF001D">
        <w:t xml:space="preserve"> </w:t>
      </w:r>
      <w:r w:rsidR="00DF001D" w:rsidRPr="00CC20D1">
        <w:t>Příloha A13.</w:t>
      </w:r>
      <w:r>
        <w:t xml:space="preserve"> </w:t>
      </w:r>
      <w:r w:rsidR="00F62D92">
        <w:t xml:space="preserve">Požaduje se </w:t>
      </w:r>
      <w:r w:rsidR="00F34DEF">
        <w:t xml:space="preserve">použít pro </w:t>
      </w:r>
      <w:r w:rsidR="00F62D92">
        <w:t xml:space="preserve">značení </w:t>
      </w:r>
      <w:r w:rsidR="00D10EDB">
        <w:t>normu</w:t>
      </w:r>
      <w:r w:rsidR="00F62D92">
        <w:t xml:space="preserve"> DIN 6779-1</w:t>
      </w:r>
      <w:r w:rsidR="00415D18">
        <w:t>.</w:t>
      </w:r>
    </w:p>
    <w:p w14:paraId="15A3F937" w14:textId="6782F0F2" w:rsidR="00C73438" w:rsidRDefault="00C73438" w:rsidP="00D638C1">
      <w:pPr>
        <w:pStyle w:val="TCBNormalni"/>
      </w:pPr>
      <w:r>
        <w:t>V rámci metodiky KKS OBJ</w:t>
      </w:r>
      <w:r w:rsidR="00333205">
        <w:t>ED</w:t>
      </w:r>
      <w:r>
        <w:t xml:space="preserve">NATELE se upřesňuje </w:t>
      </w:r>
      <w:r w:rsidR="00D638C1">
        <w:t xml:space="preserve">a ve spolupráci se správcem </w:t>
      </w:r>
      <w:r w:rsidR="0066385C">
        <w:t>KKS požaduje</w:t>
      </w:r>
      <w:r>
        <w:t xml:space="preserve">: </w:t>
      </w:r>
    </w:p>
    <w:p w14:paraId="79E513FC" w14:textId="41111D53" w:rsidR="005252C0" w:rsidRDefault="005252C0" w:rsidP="00FA00D2">
      <w:pPr>
        <w:pStyle w:val="TCBNormalni"/>
        <w:numPr>
          <w:ilvl w:val="0"/>
          <w:numId w:val="18"/>
        </w:numPr>
      </w:pPr>
      <w:r>
        <w:t xml:space="preserve">ZHOTOVITEL zabrání duplicitám ve značení KKS jak v rámci </w:t>
      </w:r>
      <w:r w:rsidR="00D15275">
        <w:t>DÍLA, tak</w:t>
      </w:r>
      <w:r>
        <w:t xml:space="preserve"> i </w:t>
      </w:r>
      <w:proofErr w:type="spellStart"/>
      <w:r>
        <w:t>bezkoliznost</w:t>
      </w:r>
      <w:proofErr w:type="spellEnd"/>
      <w:r>
        <w:t xml:space="preserve"> se stávajícím značením, které je částečně na VÝROBNĚ</w:t>
      </w:r>
      <w:r w:rsidR="002F2D9E">
        <w:t xml:space="preserve"> případn</w:t>
      </w:r>
      <w:r w:rsidR="0094489C">
        <w:t>ě jiných OB</w:t>
      </w:r>
      <w:r>
        <w:t xml:space="preserve"> použito</w:t>
      </w:r>
      <w:r w:rsidR="00AB5924">
        <w:t>,</w:t>
      </w:r>
      <w:r>
        <w:t xml:space="preserve"> a to ve spolupráci se správcem KKS. </w:t>
      </w:r>
      <w:r w:rsidRPr="004772B2">
        <w:t xml:space="preserve"> </w:t>
      </w:r>
    </w:p>
    <w:p w14:paraId="78D77A2A" w14:textId="489EC5CE" w:rsidR="00C73438" w:rsidRDefault="005252C0" w:rsidP="00FA00D2">
      <w:pPr>
        <w:pStyle w:val="TCBNormalni"/>
        <w:numPr>
          <w:ilvl w:val="0"/>
          <w:numId w:val="18"/>
        </w:numPr>
      </w:pPr>
      <w:r>
        <w:t xml:space="preserve"> ve strojní části se p</w:t>
      </w:r>
      <w:r w:rsidR="00C73438">
        <w:t xml:space="preserve">referuje </w:t>
      </w:r>
      <w:r w:rsidR="00C73438" w:rsidRPr="00333205">
        <w:rPr>
          <w:b/>
          <w:bCs/>
        </w:rPr>
        <w:t>použití desítkového značení na úrovni systému</w:t>
      </w:r>
      <w:r w:rsidR="00C73438">
        <w:t xml:space="preserve"> pro zařízení</w:t>
      </w:r>
      <w:r w:rsidR="00EB7468">
        <w:t xml:space="preserve"> a</w:t>
      </w:r>
      <w:r w:rsidR="00C17B50">
        <w:t> </w:t>
      </w:r>
      <w:r w:rsidR="00EB7468">
        <w:t>pro hlavní potrubní trasy</w:t>
      </w:r>
      <w:r w:rsidR="00C73438">
        <w:t>, pokud není v metodice výslovně uvedeno jinak. a je-li to z hlediska počtu zařízení možné.</w:t>
      </w:r>
    </w:p>
    <w:p w14:paraId="3D733456" w14:textId="6AB4080D" w:rsidR="00C73438" w:rsidRDefault="00C73438" w:rsidP="00FA00D2">
      <w:pPr>
        <w:pStyle w:val="TCBNormalni"/>
        <w:numPr>
          <w:ilvl w:val="0"/>
          <w:numId w:val="18"/>
        </w:numPr>
      </w:pPr>
      <w:r>
        <w:t xml:space="preserve">Pro potrubí platí, že při </w:t>
      </w:r>
      <w:r w:rsidRPr="00333205">
        <w:rPr>
          <w:b/>
          <w:bCs/>
        </w:rPr>
        <w:t>změně hodnoty PS nebo TS</w:t>
      </w:r>
      <w:r>
        <w:t xml:space="preserve"> </w:t>
      </w:r>
      <w:r w:rsidR="0066385C">
        <w:t>(dle</w:t>
      </w:r>
      <w:r>
        <w:t xml:space="preserve"> definice ČSN 13480) </w:t>
      </w:r>
      <w:r w:rsidRPr="00333205">
        <w:rPr>
          <w:b/>
          <w:bCs/>
        </w:rPr>
        <w:t xml:space="preserve">se vždy změní KKS kód na úrovni </w:t>
      </w:r>
      <w:r w:rsidR="00333205">
        <w:rPr>
          <w:b/>
          <w:bCs/>
        </w:rPr>
        <w:t xml:space="preserve">značení </w:t>
      </w:r>
      <w:r w:rsidRPr="00333205">
        <w:rPr>
          <w:b/>
          <w:bCs/>
        </w:rPr>
        <w:t>systému</w:t>
      </w:r>
      <w:r>
        <w:t>.</w:t>
      </w:r>
    </w:p>
    <w:p w14:paraId="0E49CBB5" w14:textId="77777777" w:rsidR="00C73438" w:rsidRDefault="00C73438" w:rsidP="00FA00D2">
      <w:pPr>
        <w:pStyle w:val="TCBNormalni"/>
        <w:numPr>
          <w:ilvl w:val="0"/>
          <w:numId w:val="18"/>
        </w:numPr>
      </w:pPr>
      <w:r w:rsidRPr="00333205">
        <w:rPr>
          <w:b/>
          <w:bCs/>
        </w:rPr>
        <w:t>Změna dimenze</w:t>
      </w:r>
      <w:r>
        <w:t xml:space="preserve"> potrubí znamená změnu značení kódu KKS.</w:t>
      </w:r>
    </w:p>
    <w:p w14:paraId="06D5E16F" w14:textId="50B2A8EF" w:rsidR="00C73438" w:rsidRPr="00333205" w:rsidRDefault="00C73438" w:rsidP="00FA00D2">
      <w:pPr>
        <w:pStyle w:val="TCBNormalni"/>
        <w:numPr>
          <w:ilvl w:val="0"/>
          <w:numId w:val="18"/>
        </w:numPr>
        <w:rPr>
          <w:b/>
          <w:bCs/>
        </w:rPr>
      </w:pPr>
      <w:r w:rsidRPr="00333205">
        <w:rPr>
          <w:b/>
          <w:bCs/>
        </w:rPr>
        <w:t>Označení trasy</w:t>
      </w:r>
      <w:r>
        <w:t xml:space="preserve"> preferuje se </w:t>
      </w:r>
      <w:r w:rsidRPr="00333205">
        <w:rPr>
          <w:b/>
          <w:bCs/>
        </w:rPr>
        <w:t>použití desítkového značení</w:t>
      </w:r>
      <w:r>
        <w:t xml:space="preserve"> </w:t>
      </w:r>
      <w:r w:rsidR="00333205">
        <w:t>na úrovni agr</w:t>
      </w:r>
      <w:r w:rsidR="00EB7468">
        <w:t>e</w:t>
      </w:r>
      <w:r w:rsidR="00333205">
        <w:t xml:space="preserve">gátu </w:t>
      </w:r>
      <w:r>
        <w:t xml:space="preserve">XXAABR010, BR020 </w:t>
      </w:r>
      <w:r w:rsidR="0066385C">
        <w:t>atd,</w:t>
      </w:r>
      <w:r>
        <w:t xml:space="preserve"> </w:t>
      </w:r>
    </w:p>
    <w:p w14:paraId="64C0C721" w14:textId="5ED39CB4" w:rsidR="004772B2" w:rsidRDefault="00C73438" w:rsidP="00FA00D2">
      <w:pPr>
        <w:pStyle w:val="TCBNormalni"/>
        <w:numPr>
          <w:ilvl w:val="0"/>
          <w:numId w:val="18"/>
        </w:numPr>
      </w:pPr>
      <w:r w:rsidRPr="00333205">
        <w:rPr>
          <w:b/>
          <w:bCs/>
        </w:rPr>
        <w:t>Označení armatur</w:t>
      </w:r>
      <w:r>
        <w:t xml:space="preserve"> </w:t>
      </w:r>
      <w:r w:rsidR="00333205">
        <w:t xml:space="preserve">bude použito </w:t>
      </w:r>
      <w:r w:rsidRPr="00333205">
        <w:rPr>
          <w:b/>
          <w:bCs/>
        </w:rPr>
        <w:t>s užitím desítkového značení potrubní tras</w:t>
      </w:r>
      <w:r>
        <w:t xml:space="preserve">y v KKS </w:t>
      </w:r>
      <w:r w:rsidR="0066385C">
        <w:t>kódu</w:t>
      </w:r>
      <w:r>
        <w:t xml:space="preserve"> </w:t>
      </w:r>
      <w:r w:rsidR="0066385C">
        <w:t>armatury,</w:t>
      </w:r>
      <w:r>
        <w:t xml:space="preserve"> tj. např. na </w:t>
      </w:r>
      <w:r w:rsidR="0066385C">
        <w:t>trase XXXAA</w:t>
      </w:r>
      <w:r w:rsidR="00333205">
        <w:t xml:space="preserve"> </w:t>
      </w:r>
      <w:r>
        <w:t xml:space="preserve">BR 020 bude </w:t>
      </w:r>
      <w:r w:rsidR="00333205">
        <w:t xml:space="preserve">uzavírací </w:t>
      </w:r>
      <w:proofErr w:type="spellStart"/>
      <w:r w:rsidR="00333205">
        <w:t>elektro</w:t>
      </w:r>
      <w:r>
        <w:t>armatura</w:t>
      </w:r>
      <w:proofErr w:type="spellEnd"/>
      <w:r>
        <w:t xml:space="preserve"> značena XXXAA</w:t>
      </w:r>
      <w:r w:rsidR="004772B2">
        <w:t xml:space="preserve"> </w:t>
      </w:r>
      <w:r>
        <w:t>A</w:t>
      </w:r>
      <w:r w:rsidR="004772B2">
        <w:t>A</w:t>
      </w:r>
      <w:r>
        <w:t>0</w:t>
      </w:r>
      <w:r w:rsidR="00333205">
        <w:t>2</w:t>
      </w:r>
      <w:r>
        <w:t>0</w:t>
      </w:r>
      <w:r w:rsidR="00333205">
        <w:t xml:space="preserve">, další </w:t>
      </w:r>
      <w:r w:rsidR="004772B2">
        <w:t>AA</w:t>
      </w:r>
      <w:r w:rsidR="00333205">
        <w:t xml:space="preserve">021 </w:t>
      </w:r>
      <w:r w:rsidR="0066385C">
        <w:t>atd,</w:t>
      </w:r>
      <w:r w:rsidR="00333205">
        <w:t xml:space="preserve"> ruční uzavírací armatura XXXAA520, dále </w:t>
      </w:r>
      <w:r w:rsidR="004772B2">
        <w:t>AA</w:t>
      </w:r>
      <w:r w:rsidR="00333205">
        <w:t xml:space="preserve">521, </w:t>
      </w:r>
      <w:r w:rsidR="004772B2">
        <w:t>AA</w:t>
      </w:r>
      <w:r w:rsidR="00333205">
        <w:t>52</w:t>
      </w:r>
      <w:r w:rsidR="004772B2">
        <w:t>2</w:t>
      </w:r>
      <w:r w:rsidR="00333205">
        <w:t>, zpětný ventil na téže trase XXXAA</w:t>
      </w:r>
      <w:r w:rsidR="0066385C">
        <w:t>820, což</w:t>
      </w:r>
      <w:r w:rsidR="00333205">
        <w:t xml:space="preserve"> umožňuje identifikovat trasu na které se armatura nachází. </w:t>
      </w:r>
    </w:p>
    <w:p w14:paraId="7774AC5D" w14:textId="77777777" w:rsidR="004772B2" w:rsidRDefault="004772B2" w:rsidP="00FA00D2">
      <w:pPr>
        <w:pStyle w:val="TCBNormalni"/>
        <w:numPr>
          <w:ilvl w:val="0"/>
          <w:numId w:val="18"/>
        </w:numPr>
      </w:pPr>
      <w:r w:rsidRPr="004772B2">
        <w:t>Změna dodavatele znamená vždy změnu na úrovni KKS systému.</w:t>
      </w:r>
      <w:r w:rsidR="00C73438" w:rsidRPr="004772B2">
        <w:t xml:space="preserve"> </w:t>
      </w:r>
    </w:p>
    <w:p w14:paraId="559B2A23" w14:textId="6100A6DF" w:rsidR="00CC20D1" w:rsidRPr="00C17B50" w:rsidRDefault="00AD3FE5" w:rsidP="003C14EF">
      <w:pPr>
        <w:pStyle w:val="TCBNormalni"/>
        <w:numPr>
          <w:ilvl w:val="0"/>
          <w:numId w:val="18"/>
        </w:numPr>
        <w:rPr>
          <w:color w:val="000000"/>
        </w:rPr>
      </w:pPr>
      <w:r w:rsidRPr="00F0351D">
        <w:rPr>
          <w:b/>
          <w:bCs/>
        </w:rPr>
        <w:t xml:space="preserve">Značení připojovacích míst v rámci </w:t>
      </w:r>
      <w:r w:rsidR="0066385C" w:rsidRPr="00F0351D">
        <w:rPr>
          <w:b/>
          <w:bCs/>
        </w:rPr>
        <w:t>projektu</w:t>
      </w:r>
      <w:r w:rsidR="0066385C">
        <w:t>:</w:t>
      </w:r>
      <w:r>
        <w:t xml:space="preserve"> bude použit o značení systému a pořadové číslo toho připojovacího místa. Bude použito značení systému od toho media, které do provozního souboru </w:t>
      </w:r>
      <w:r w:rsidR="00EB7468">
        <w:t xml:space="preserve">proudí (případně převažující směr </w:t>
      </w:r>
      <w:r w:rsidR="0066385C">
        <w:t>proudění) tj.</w:t>
      </w:r>
      <w:r>
        <w:t xml:space="preserve"> XXXAA.001. </w:t>
      </w:r>
      <w:r w:rsidR="0066385C">
        <w:t>ZHOTOVITEL zajistí</w:t>
      </w:r>
      <w:r w:rsidR="006A0727">
        <w:t xml:space="preserve"> jednoznačnost v rámci koordinace a shodnost označení připojovacích míst v rámci DÍLA</w:t>
      </w:r>
      <w:r w:rsidR="00C17B50">
        <w:t>.</w:t>
      </w:r>
      <w:r w:rsidR="00295244">
        <w:t xml:space="preserve"> </w:t>
      </w:r>
    </w:p>
    <w:p w14:paraId="71EA5C7B" w14:textId="0EBA2FA2" w:rsidR="00333205" w:rsidRDefault="00354C79" w:rsidP="00D65FAF">
      <w:pPr>
        <w:pStyle w:val="TCBNadpis2"/>
      </w:pPr>
      <w:bookmarkStart w:id="57" w:name="_Toc142307560"/>
      <w:r>
        <w:t>Štítky, popisy</w:t>
      </w:r>
      <w:bookmarkEnd w:id="57"/>
      <w:r>
        <w:t xml:space="preserve"> </w:t>
      </w:r>
    </w:p>
    <w:p w14:paraId="3B96DFBB" w14:textId="250B804D" w:rsidR="00333205" w:rsidRPr="004722FE" w:rsidRDefault="00333205" w:rsidP="00333205">
      <w:pPr>
        <w:pStyle w:val="TCBNormalni"/>
        <w:rPr>
          <w:rFonts w:ascii="Calibri" w:hAnsi="Calibri" w:cs="Calibri"/>
          <w:color w:val="000000"/>
        </w:rPr>
      </w:pPr>
      <w:r w:rsidRPr="004722FE">
        <w:t>Součástí DÍLA</w:t>
      </w:r>
      <w:r w:rsidR="00295244">
        <w:t xml:space="preserve"> </w:t>
      </w:r>
      <w:r w:rsidR="00CC20D1">
        <w:t>OB 2</w:t>
      </w:r>
      <w:r w:rsidRPr="004722FE">
        <w:t xml:space="preserve"> je i zajištění značení: </w:t>
      </w:r>
    </w:p>
    <w:p w14:paraId="2611E300" w14:textId="77777777" w:rsidR="00333205" w:rsidRPr="004722FE" w:rsidRDefault="00333205" w:rsidP="00FA00D2">
      <w:pPr>
        <w:pStyle w:val="TCBNormalni"/>
        <w:numPr>
          <w:ilvl w:val="0"/>
          <w:numId w:val="6"/>
        </w:numPr>
        <w:rPr>
          <w:color w:val="000000"/>
        </w:rPr>
      </w:pPr>
      <w:r w:rsidRPr="004722FE">
        <w:rPr>
          <w:color w:val="000000"/>
        </w:rPr>
        <w:t xml:space="preserve">značení </w:t>
      </w:r>
      <w:r>
        <w:rPr>
          <w:color w:val="000000"/>
        </w:rPr>
        <w:t>JEDNOTKY</w:t>
      </w:r>
      <w:r w:rsidRPr="004722FE">
        <w:rPr>
          <w:color w:val="000000"/>
        </w:rPr>
        <w:t xml:space="preserve"> a jeho jednotlivých částí,</w:t>
      </w:r>
    </w:p>
    <w:p w14:paraId="48D90602" w14:textId="54F09D87" w:rsidR="00333205" w:rsidRPr="008C1809" w:rsidRDefault="00333205" w:rsidP="003C14EF">
      <w:pPr>
        <w:pStyle w:val="TCBNormalni"/>
        <w:numPr>
          <w:ilvl w:val="0"/>
          <w:numId w:val="6"/>
        </w:numPr>
        <w:rPr>
          <w:color w:val="000000"/>
        </w:rPr>
      </w:pPr>
      <w:r w:rsidRPr="004722FE">
        <w:rPr>
          <w:color w:val="000000"/>
        </w:rPr>
        <w:t>bezpečnostní značení v návaznosti na ČSN ISO 38 64 s přihlédnutím k požadavků BOZP a PO platným pro daný charakter DÍLA</w:t>
      </w:r>
      <w:r w:rsidR="00D6242C">
        <w:rPr>
          <w:color w:val="000000"/>
        </w:rPr>
        <w:t>.</w:t>
      </w:r>
    </w:p>
    <w:p w14:paraId="48C84A13" w14:textId="77777777" w:rsidR="00333205" w:rsidRDefault="00333205" w:rsidP="00333205">
      <w:pPr>
        <w:pStyle w:val="TCBNormalni"/>
        <w:rPr>
          <w:color w:val="000000"/>
        </w:rPr>
      </w:pPr>
      <w:r w:rsidRPr="004722FE">
        <w:rPr>
          <w:color w:val="000000"/>
        </w:rPr>
        <w:lastRenderedPageBreak/>
        <w:t xml:space="preserve">Veškerá technologická zařízení, potrubní trasy, armatury, odběry měření i elektrospotřebiče budou označeny štítky a doplňujícími tabulkami. </w:t>
      </w:r>
    </w:p>
    <w:p w14:paraId="1751A064" w14:textId="11645105" w:rsidR="00FB4BF0" w:rsidRDefault="00333205" w:rsidP="00FB4BF0">
      <w:pPr>
        <w:pStyle w:val="TCBNormalni"/>
      </w:pPr>
      <w:r>
        <w:rPr>
          <w:color w:val="000000"/>
        </w:rPr>
        <w:t xml:space="preserve">Štítky budou umístěny tak aby byly dobře čitelné. </w:t>
      </w:r>
      <w:r w:rsidR="002D247B" w:rsidRPr="002D247B">
        <w:rPr>
          <w:color w:val="000000"/>
        </w:rPr>
        <w:t>Potrubí bude</w:t>
      </w:r>
      <w:r w:rsidR="002D247B">
        <w:rPr>
          <w:color w:val="000000"/>
        </w:rPr>
        <w:t xml:space="preserve"> </w:t>
      </w:r>
      <w:r w:rsidR="002D247B" w:rsidRPr="002D247B">
        <w:rPr>
          <w:color w:val="000000"/>
        </w:rPr>
        <w:t xml:space="preserve">opatřeno pruhy ve vzdálenostech cca </w:t>
      </w:r>
      <w:proofErr w:type="gramStart"/>
      <w:r w:rsidR="002D247B" w:rsidRPr="002D247B">
        <w:rPr>
          <w:color w:val="000000"/>
        </w:rPr>
        <w:t>15-20m</w:t>
      </w:r>
      <w:proofErr w:type="gramEnd"/>
      <w:r w:rsidR="002D247B" w:rsidRPr="002D247B">
        <w:rPr>
          <w:color w:val="000000"/>
        </w:rPr>
        <w:t>.</w:t>
      </w:r>
      <w:r>
        <w:rPr>
          <w:color w:val="000000"/>
        </w:rPr>
        <w:t xml:space="preserve"> </w:t>
      </w:r>
    </w:p>
    <w:p w14:paraId="03ADFCAD" w14:textId="5084E4F0" w:rsidR="00FB4BF0" w:rsidRPr="00FB4BF0" w:rsidRDefault="00247748" w:rsidP="00FB4BF0">
      <w:pPr>
        <w:pStyle w:val="TCBNormalni"/>
      </w:pPr>
      <w:r>
        <w:t>Štítky</w:t>
      </w:r>
      <w:r w:rsidR="00FB4BF0">
        <w:t xml:space="preserve"> bud</w:t>
      </w:r>
      <w:r>
        <w:t>ou</w:t>
      </w:r>
      <w:r w:rsidR="00FB4BF0">
        <w:t xml:space="preserve"> odpovídat </w:t>
      </w:r>
      <w:r>
        <w:t xml:space="preserve">Předpisu </w:t>
      </w:r>
      <w:r w:rsidR="00FB4BF0">
        <w:t xml:space="preserve">OBJEDNATELE – </w:t>
      </w:r>
      <w:r w:rsidR="00FB4BF0" w:rsidRPr="00247748">
        <w:t>viz Příloha A 13</w:t>
      </w:r>
      <w:r w:rsidR="00FB4BF0">
        <w:t xml:space="preserve">. </w:t>
      </w:r>
    </w:p>
    <w:p w14:paraId="79D7CE1A" w14:textId="77777777" w:rsidR="00354C79" w:rsidRPr="00D65FAF" w:rsidRDefault="00354C79" w:rsidP="00D65FAF">
      <w:pPr>
        <w:pStyle w:val="TCBNadpis3"/>
      </w:pPr>
      <w:bookmarkStart w:id="58" w:name="_Toc142307561"/>
      <w:r w:rsidRPr="00D65FAF">
        <w:t>Potrubí</w:t>
      </w:r>
      <w:bookmarkEnd w:id="58"/>
      <w:r w:rsidRPr="00D65FAF">
        <w:t xml:space="preserve"> </w:t>
      </w:r>
    </w:p>
    <w:p w14:paraId="670AC071" w14:textId="77777777" w:rsidR="00354C79" w:rsidRPr="00442E0D" w:rsidRDefault="00354C79" w:rsidP="00354C79">
      <w:pPr>
        <w:pStyle w:val="TCBNormalni"/>
      </w:pPr>
      <w:r w:rsidRPr="004722FE">
        <w:rPr>
          <w:color w:val="000000"/>
        </w:rPr>
        <w:t>V souladu s projektovou dokumentací bude barevné označení nového potrubí a zařízení doplněno nápisy, štítky a tabulkami, které budou uvádět:</w:t>
      </w:r>
      <w:bookmarkStart w:id="59" w:name="_Toc136358234"/>
      <w:bookmarkStart w:id="60" w:name="_Toc136359132"/>
      <w:bookmarkStart w:id="61" w:name="_Toc220838420"/>
      <w:bookmarkStart w:id="62" w:name="_Toc221610922"/>
      <w:bookmarkStart w:id="63" w:name="_Toc378783540"/>
      <w:bookmarkStart w:id="64" w:name="_Toc424287286"/>
      <w:r w:rsidRPr="00375109">
        <w:t xml:space="preserve"> </w:t>
      </w:r>
      <w:bookmarkEnd w:id="59"/>
      <w:bookmarkEnd w:id="60"/>
      <w:bookmarkEnd w:id="61"/>
      <w:bookmarkEnd w:id="62"/>
      <w:bookmarkEnd w:id="63"/>
      <w:bookmarkEnd w:id="64"/>
    </w:p>
    <w:p w14:paraId="228598C7" w14:textId="2DD8376F" w:rsidR="00354C79" w:rsidRPr="004722FE" w:rsidRDefault="00354C79" w:rsidP="00FA00D2">
      <w:pPr>
        <w:pStyle w:val="TCBNormalni"/>
        <w:numPr>
          <w:ilvl w:val="0"/>
          <w:numId w:val="7"/>
        </w:numPr>
        <w:rPr>
          <w:color w:val="000000"/>
        </w:rPr>
      </w:pPr>
      <w:r w:rsidRPr="004722FE">
        <w:rPr>
          <w:color w:val="000000"/>
        </w:rPr>
        <w:t>označení potrubní trasy či zařízení kódem KKS</w:t>
      </w:r>
      <w:r w:rsidR="00D6242C">
        <w:rPr>
          <w:color w:val="000000"/>
        </w:rPr>
        <w:t>,</w:t>
      </w:r>
    </w:p>
    <w:p w14:paraId="7A42C914" w14:textId="664CA1A2" w:rsidR="00354C79" w:rsidRPr="004722FE" w:rsidRDefault="00354C79" w:rsidP="00FA00D2">
      <w:pPr>
        <w:pStyle w:val="TCBNormalni"/>
        <w:numPr>
          <w:ilvl w:val="0"/>
          <w:numId w:val="7"/>
        </w:numPr>
        <w:rPr>
          <w:color w:val="000000"/>
        </w:rPr>
      </w:pPr>
      <w:r w:rsidRPr="004722FE">
        <w:rPr>
          <w:color w:val="000000"/>
        </w:rPr>
        <w:t>název média</w:t>
      </w:r>
      <w:r w:rsidR="00D6242C">
        <w:rPr>
          <w:color w:val="000000"/>
        </w:rPr>
        <w:t>,</w:t>
      </w:r>
    </w:p>
    <w:p w14:paraId="6F290CB5" w14:textId="24E1C1CF" w:rsidR="00354C79" w:rsidRPr="004722FE" w:rsidRDefault="00354C79" w:rsidP="00FA00D2">
      <w:pPr>
        <w:pStyle w:val="TCBNormalni"/>
        <w:numPr>
          <w:ilvl w:val="0"/>
          <w:numId w:val="7"/>
        </w:numPr>
        <w:rPr>
          <w:color w:val="000000"/>
        </w:rPr>
      </w:pPr>
      <w:r w:rsidRPr="004722FE">
        <w:rPr>
          <w:color w:val="000000"/>
        </w:rPr>
        <w:t>parametry protékajícího média</w:t>
      </w:r>
      <w:r>
        <w:rPr>
          <w:color w:val="000000"/>
        </w:rPr>
        <w:t xml:space="preserve"> </w:t>
      </w:r>
      <w:r w:rsidR="0066385C">
        <w:rPr>
          <w:color w:val="000000"/>
        </w:rPr>
        <w:t>(hodnoty</w:t>
      </w:r>
      <w:r>
        <w:rPr>
          <w:color w:val="000000"/>
        </w:rPr>
        <w:t xml:space="preserve"> maximálního dovoleného talku a teploty)</w:t>
      </w:r>
      <w:r w:rsidR="00D6242C">
        <w:rPr>
          <w:color w:val="000000"/>
        </w:rPr>
        <w:t>,</w:t>
      </w:r>
    </w:p>
    <w:p w14:paraId="14D9731E" w14:textId="03D4E2A4" w:rsidR="00354C79" w:rsidRDefault="00354C79" w:rsidP="00FA00D2">
      <w:pPr>
        <w:pStyle w:val="TCBNormalni"/>
        <w:numPr>
          <w:ilvl w:val="0"/>
          <w:numId w:val="7"/>
        </w:numPr>
        <w:rPr>
          <w:color w:val="000000"/>
        </w:rPr>
      </w:pPr>
      <w:r w:rsidRPr="004722FE">
        <w:rPr>
          <w:color w:val="000000"/>
        </w:rPr>
        <w:t>směr toku média</w:t>
      </w:r>
      <w:r w:rsidR="00D6242C">
        <w:rPr>
          <w:color w:val="000000"/>
        </w:rPr>
        <w:t>,</w:t>
      </w:r>
    </w:p>
    <w:p w14:paraId="75220702" w14:textId="3349831C" w:rsidR="00354C79" w:rsidRPr="00AB5924" w:rsidRDefault="00CB6872" w:rsidP="003C14EF">
      <w:pPr>
        <w:pStyle w:val="TCBNormalni"/>
        <w:numPr>
          <w:ilvl w:val="0"/>
          <w:numId w:val="7"/>
        </w:numPr>
        <w:rPr>
          <w:color w:val="000000"/>
        </w:rPr>
      </w:pPr>
      <w:r>
        <w:rPr>
          <w:color w:val="000000"/>
        </w:rPr>
        <w:t>bezpečnostní značení (v případě nebezpečných látek)</w:t>
      </w:r>
      <w:r w:rsidR="00D6242C">
        <w:rPr>
          <w:color w:val="000000"/>
        </w:rPr>
        <w:t>.</w:t>
      </w:r>
      <w:r>
        <w:rPr>
          <w:color w:val="000000"/>
        </w:rPr>
        <w:t xml:space="preserve"> </w:t>
      </w:r>
    </w:p>
    <w:p w14:paraId="3573D203" w14:textId="77777777" w:rsidR="00354C79" w:rsidRPr="004722FE" w:rsidRDefault="00354C79" w:rsidP="00354C79">
      <w:pPr>
        <w:pStyle w:val="TCBNormalni"/>
        <w:rPr>
          <w:color w:val="000000"/>
        </w:rPr>
      </w:pPr>
      <w:r w:rsidRPr="004722FE">
        <w:rPr>
          <w:color w:val="000000"/>
        </w:rPr>
        <w:t>ZHOTOVITEL provede výměnu štítků označení zařízení kódy KKS, poškozené během oprav. Jde o štítky značení potrubních tras, armatur a zařízení. Stejně tak budou vyměněny typové štítky zařízení, chybějící nebo poškozené během oprav.</w:t>
      </w:r>
    </w:p>
    <w:p w14:paraId="374C815A" w14:textId="71DFE436" w:rsidR="00354C79" w:rsidRPr="006B43EA" w:rsidRDefault="00354C79" w:rsidP="00354C79">
      <w:pPr>
        <w:pStyle w:val="TCBNormalni"/>
      </w:pPr>
      <w:r>
        <w:t>U t</w:t>
      </w:r>
      <w:r w:rsidRPr="006B43EA">
        <w:t>lakov</w:t>
      </w:r>
      <w:r>
        <w:t>ých</w:t>
      </w:r>
      <w:r w:rsidRPr="006B43EA">
        <w:t xml:space="preserve"> zařízení musí být použit typovém štítku podle požadavků </w:t>
      </w:r>
      <w:proofErr w:type="gramStart"/>
      <w:r w:rsidRPr="006B43EA">
        <w:t>PED</w:t>
      </w:r>
      <w:proofErr w:type="gramEnd"/>
      <w:r w:rsidRPr="00375109">
        <w:t xml:space="preserve"> </w:t>
      </w:r>
      <w:r>
        <w:t xml:space="preserve">resp. </w:t>
      </w:r>
      <w:r w:rsidRPr="008B5FA2">
        <w:t>ČSN EN 13480-4</w:t>
      </w:r>
      <w:r w:rsidRPr="006B43EA">
        <w:t>.</w:t>
      </w:r>
    </w:p>
    <w:p w14:paraId="0D0B1F62" w14:textId="025E8B05" w:rsidR="00354C79" w:rsidRPr="006B43EA" w:rsidRDefault="00354C79" w:rsidP="00354C79">
      <w:pPr>
        <w:pStyle w:val="TCBNormalni"/>
      </w:pPr>
      <w:r w:rsidRPr="00442E0D">
        <w:t>P</w:t>
      </w:r>
      <w:r>
        <w:t>říslušné p</w:t>
      </w:r>
      <w:r w:rsidRPr="00442E0D">
        <w:t xml:space="preserve">otrubí bude </w:t>
      </w:r>
      <w:r>
        <w:t xml:space="preserve">zároveň </w:t>
      </w:r>
      <w:r w:rsidRPr="00442E0D">
        <w:t xml:space="preserve">značeno </w:t>
      </w:r>
      <w:r>
        <w:t>užitím z</w:t>
      </w:r>
      <w:r w:rsidRPr="006B43EA">
        <w:t>načka CE</w:t>
      </w:r>
      <w:r w:rsidR="0037202C">
        <w:t>.</w:t>
      </w:r>
      <w:r>
        <w:t xml:space="preserve"> </w:t>
      </w:r>
    </w:p>
    <w:p w14:paraId="18E5E3DB" w14:textId="070DD1A5" w:rsidR="00354C79" w:rsidRDefault="00354C79" w:rsidP="00D65FAF">
      <w:pPr>
        <w:pStyle w:val="TCBNadpis3"/>
      </w:pPr>
      <w:bookmarkStart w:id="65" w:name="_Toc142307562"/>
      <w:r w:rsidRPr="006B43EA">
        <w:t>Popisy zařízení</w:t>
      </w:r>
      <w:bookmarkEnd w:id="65"/>
      <w:r w:rsidRPr="006B43EA">
        <w:t xml:space="preserve"> </w:t>
      </w:r>
    </w:p>
    <w:p w14:paraId="4662FEBB" w14:textId="77777777" w:rsidR="00354C79" w:rsidRPr="006B43EA" w:rsidRDefault="00354C79" w:rsidP="00354C79">
      <w:pPr>
        <w:pStyle w:val="TCBNormalni"/>
      </w:pPr>
      <w:r>
        <w:t xml:space="preserve">Každé zařízení bude označeno Názvem zařízení a kódem KKS. </w:t>
      </w:r>
    </w:p>
    <w:p w14:paraId="5ED33249" w14:textId="311DCE70" w:rsidR="00354C79" w:rsidRPr="006B43EA" w:rsidRDefault="00354C79" w:rsidP="00354C79">
      <w:pPr>
        <w:pStyle w:val="TCBNormalni"/>
      </w:pPr>
      <w:r>
        <w:t xml:space="preserve">Každé </w:t>
      </w:r>
      <w:r w:rsidR="0066385C" w:rsidRPr="006B43EA">
        <w:t>zařízení musí</w:t>
      </w:r>
      <w:r w:rsidRPr="006B43EA">
        <w:t xml:space="preserve"> být </w:t>
      </w:r>
      <w:r>
        <w:t xml:space="preserve">vybaveno </w:t>
      </w:r>
      <w:r w:rsidR="0066385C">
        <w:t xml:space="preserve">kovovým </w:t>
      </w:r>
      <w:r w:rsidR="0066385C" w:rsidRPr="006B43EA">
        <w:t>typovým</w:t>
      </w:r>
      <w:r w:rsidRPr="006B43EA">
        <w:t xml:space="preserve"> štít</w:t>
      </w:r>
      <w:r>
        <w:t>kem</w:t>
      </w:r>
      <w:r w:rsidRPr="006B43EA">
        <w:t xml:space="preserve"> označující</w:t>
      </w:r>
      <w:r w:rsidR="00451749">
        <w:t>m</w:t>
      </w:r>
      <w:r w:rsidRPr="006B43EA">
        <w:t xml:space="preserve"> jako minimum:</w:t>
      </w:r>
    </w:p>
    <w:p w14:paraId="673CF901" w14:textId="26379633" w:rsidR="00354C79" w:rsidRPr="006B43EA" w:rsidRDefault="00FC4D90" w:rsidP="00FA00D2">
      <w:pPr>
        <w:pStyle w:val="TCBNormalni"/>
        <w:numPr>
          <w:ilvl w:val="0"/>
          <w:numId w:val="8"/>
        </w:numPr>
      </w:pPr>
      <w:r>
        <w:t>n</w:t>
      </w:r>
      <w:r w:rsidR="00354C79" w:rsidRPr="006B43EA">
        <w:t>ázev výrobce</w:t>
      </w:r>
      <w:r>
        <w:t>,</w:t>
      </w:r>
    </w:p>
    <w:p w14:paraId="29297714" w14:textId="3D89F1E0" w:rsidR="00354C79" w:rsidRPr="006B43EA" w:rsidRDefault="00FC4D90" w:rsidP="00FA00D2">
      <w:pPr>
        <w:pStyle w:val="TCBNormalni"/>
        <w:numPr>
          <w:ilvl w:val="0"/>
          <w:numId w:val="8"/>
        </w:numPr>
      </w:pPr>
      <w:r>
        <w:t>t</w:t>
      </w:r>
      <w:r w:rsidR="00354C79" w:rsidRPr="006B43EA">
        <w:t>yp zařízení</w:t>
      </w:r>
      <w:r>
        <w:t>,</w:t>
      </w:r>
    </w:p>
    <w:p w14:paraId="36C9FA55" w14:textId="701105EC" w:rsidR="00354C79" w:rsidRPr="006B43EA" w:rsidRDefault="00FC4D90" w:rsidP="00FA00D2">
      <w:pPr>
        <w:pStyle w:val="TCBNormalni"/>
        <w:numPr>
          <w:ilvl w:val="0"/>
          <w:numId w:val="8"/>
        </w:numPr>
      </w:pPr>
      <w:r>
        <w:t>s</w:t>
      </w:r>
      <w:r w:rsidR="00354C79" w:rsidRPr="006B43EA">
        <w:t>ériové číslo</w:t>
      </w:r>
      <w:r>
        <w:t>,</w:t>
      </w:r>
    </w:p>
    <w:p w14:paraId="7D954DF7" w14:textId="581D2FFC" w:rsidR="00354C79" w:rsidRPr="006B43EA" w:rsidRDefault="00FC4D90" w:rsidP="00FA00D2">
      <w:pPr>
        <w:pStyle w:val="TCBNormalni"/>
        <w:numPr>
          <w:ilvl w:val="0"/>
          <w:numId w:val="8"/>
        </w:numPr>
      </w:pPr>
      <w:r>
        <w:t>r</w:t>
      </w:r>
      <w:r w:rsidR="00354C79" w:rsidRPr="006B43EA">
        <w:t>ok výstavby</w:t>
      </w:r>
      <w:r>
        <w:t>,</w:t>
      </w:r>
    </w:p>
    <w:p w14:paraId="11E71EC9" w14:textId="04224802" w:rsidR="00DF001D" w:rsidRDefault="00FC4D90" w:rsidP="003C14EF">
      <w:pPr>
        <w:pStyle w:val="TCBNormalni"/>
        <w:numPr>
          <w:ilvl w:val="0"/>
          <w:numId w:val="8"/>
        </w:numPr>
        <w:rPr>
          <w:lang w:eastAsia="cs-CZ"/>
        </w:rPr>
      </w:pPr>
      <w:r>
        <w:t>h</w:t>
      </w:r>
      <w:r w:rsidR="00354C79" w:rsidRPr="006B43EA">
        <w:t>lavní provozní údaje (např. Průtok, rychlost otáčení, elektrický výkon atd.)</w:t>
      </w:r>
      <w:r>
        <w:t>.</w:t>
      </w:r>
    </w:p>
    <w:p w14:paraId="5A270EAD" w14:textId="77777777" w:rsidR="00354C79" w:rsidRPr="00343BEB" w:rsidRDefault="00354C79" w:rsidP="00354C79">
      <w:pPr>
        <w:pStyle w:val="TCBNormalni"/>
        <w:rPr>
          <w:b/>
          <w:bCs/>
        </w:rPr>
      </w:pPr>
      <w:bookmarkStart w:id="66" w:name="_Toc378783538"/>
      <w:bookmarkStart w:id="67" w:name="_Toc424287284"/>
      <w:bookmarkStart w:id="68" w:name="_Toc136358233"/>
      <w:bookmarkStart w:id="69" w:name="_Toc136359131"/>
      <w:bookmarkStart w:id="70" w:name="_Toc220838419"/>
      <w:bookmarkStart w:id="71" w:name="_Toc221610921"/>
      <w:r w:rsidRPr="00343BEB">
        <w:rPr>
          <w:b/>
          <w:bCs/>
        </w:rPr>
        <w:t>Bezpečnostní značení</w:t>
      </w:r>
      <w:bookmarkEnd w:id="66"/>
      <w:bookmarkEnd w:id="67"/>
    </w:p>
    <w:p w14:paraId="4B5609F4" w14:textId="79940774" w:rsidR="00354C79" w:rsidRDefault="00354C79" w:rsidP="00354C79">
      <w:pPr>
        <w:pStyle w:val="TCBNormalni"/>
        <w:rPr>
          <w:b/>
          <w:bCs/>
        </w:rPr>
      </w:pPr>
      <w:r w:rsidRPr="00442E0D">
        <w:t>Předmět DÍLA</w:t>
      </w:r>
      <w:r w:rsidR="00295244">
        <w:t xml:space="preserve"> </w:t>
      </w:r>
      <w:r w:rsidRPr="00442E0D">
        <w:t xml:space="preserve">vybaví ZHOTOVITEL bezpečnostním značením v souladu s </w:t>
      </w:r>
      <w:r w:rsidRPr="008B5FA2">
        <w:t>NV č</w:t>
      </w:r>
      <w:r>
        <w:t>. 375/2017</w:t>
      </w:r>
      <w:r w:rsidRPr="008B5FA2">
        <w:t xml:space="preserve"> Sb.,</w:t>
      </w:r>
      <w:r w:rsidRPr="00442E0D">
        <w:t xml:space="preserve"> </w:t>
      </w:r>
      <w:r>
        <w:t>kterým se stanoví vzhled a umístění bezpečnostních značek a zavedení signálů, ve znění pozdějších předpisů</w:t>
      </w:r>
      <w:r w:rsidRPr="00442E0D">
        <w:t xml:space="preserve"> a </w:t>
      </w:r>
      <w:r w:rsidRPr="008B5FA2">
        <w:t>ČSN ISO 3864-1</w:t>
      </w:r>
      <w:r w:rsidRPr="00442E0D">
        <w:t>.</w:t>
      </w:r>
      <w:bookmarkStart w:id="72" w:name="_Toc378783539"/>
      <w:bookmarkStart w:id="73" w:name="_Toc424287285"/>
    </w:p>
    <w:p w14:paraId="3EC8A271" w14:textId="77777777" w:rsidR="00354C79" w:rsidRPr="00375109" w:rsidRDefault="00354C79" w:rsidP="00354C79">
      <w:pPr>
        <w:pStyle w:val="TCBNormalni"/>
        <w:rPr>
          <w:b/>
          <w:bCs/>
        </w:rPr>
      </w:pPr>
      <w:r w:rsidRPr="00375109">
        <w:rPr>
          <w:b/>
          <w:bCs/>
        </w:rPr>
        <w:t>Označení nosnosti plošin</w:t>
      </w:r>
      <w:bookmarkEnd w:id="68"/>
      <w:bookmarkEnd w:id="69"/>
      <w:bookmarkEnd w:id="70"/>
      <w:bookmarkEnd w:id="71"/>
      <w:bookmarkEnd w:id="72"/>
      <w:bookmarkEnd w:id="73"/>
    </w:p>
    <w:p w14:paraId="2ADD2A79" w14:textId="140B4529" w:rsidR="00354C79" w:rsidRPr="006B43EA" w:rsidRDefault="00354C79" w:rsidP="00354C79">
      <w:pPr>
        <w:pStyle w:val="TCBNormalni"/>
      </w:pPr>
      <w:r w:rsidRPr="00442E0D">
        <w:t>Plošiny budou označeny tabulkami s nosností konstrukce.</w:t>
      </w:r>
    </w:p>
    <w:p w14:paraId="01B33DBA" w14:textId="77777777" w:rsidR="00354C79" w:rsidRPr="00442E0D" w:rsidRDefault="00354C79" w:rsidP="00354C79">
      <w:pPr>
        <w:pStyle w:val="TCBNormalni"/>
      </w:pPr>
      <w:bookmarkStart w:id="74" w:name="_Toc136358236"/>
      <w:bookmarkStart w:id="75" w:name="_Toc136359134"/>
      <w:bookmarkStart w:id="76" w:name="_Toc220838422"/>
      <w:bookmarkStart w:id="77" w:name="_Toc221610924"/>
      <w:bookmarkStart w:id="78" w:name="_Toc378783542"/>
      <w:bookmarkStart w:id="79" w:name="_Toc424287288"/>
      <w:r w:rsidRPr="00442E0D">
        <w:t>Označení hodnot na místních měřících přístrojích</w:t>
      </w:r>
      <w:bookmarkEnd w:id="74"/>
      <w:bookmarkEnd w:id="75"/>
      <w:bookmarkEnd w:id="76"/>
      <w:bookmarkEnd w:id="77"/>
      <w:bookmarkEnd w:id="78"/>
      <w:bookmarkEnd w:id="79"/>
    </w:p>
    <w:p w14:paraId="23368E94" w14:textId="621497A7" w:rsidR="004F22F3" w:rsidRDefault="00354C79" w:rsidP="00354C79">
      <w:pPr>
        <w:pStyle w:val="TCBNormalni"/>
      </w:pPr>
      <w:r w:rsidRPr="00442E0D">
        <w:t>Na místních měřících přístrojích (teplota, tlak) budou na stupnicích ryskami vyznačeny max. a min. povolené provozní hodnoty.</w:t>
      </w:r>
    </w:p>
    <w:p w14:paraId="05D89469" w14:textId="737E1830" w:rsidR="004F22F3" w:rsidRDefault="00D358C1" w:rsidP="00D65FAF">
      <w:pPr>
        <w:pStyle w:val="TCBNadpis3"/>
      </w:pPr>
      <w:bookmarkStart w:id="80" w:name="_Toc142307563"/>
      <w:r>
        <w:t>Štítkování</w:t>
      </w:r>
      <w:bookmarkEnd w:id="80"/>
      <w:r>
        <w:t xml:space="preserve"> </w:t>
      </w:r>
    </w:p>
    <w:p w14:paraId="177EC71A" w14:textId="55615E2D" w:rsidR="00141E64" w:rsidRPr="00CC20D1" w:rsidRDefault="00D358C1" w:rsidP="00141E64">
      <w:pPr>
        <w:pStyle w:val="TCBNormalni"/>
      </w:pPr>
      <w:r w:rsidRPr="00D358C1">
        <w:t>Š</w:t>
      </w:r>
      <w:r w:rsidR="002D247B" w:rsidRPr="00D358C1">
        <w:t>títkování je popsáno v A13 – Předpis pro technickou dokumentaci</w:t>
      </w:r>
      <w:r w:rsidR="00E1765E">
        <w:t>.</w:t>
      </w:r>
    </w:p>
    <w:p w14:paraId="62CC9762" w14:textId="77777777" w:rsidR="00354C79" w:rsidRPr="00141E64" w:rsidRDefault="00354C79" w:rsidP="00D65FAF">
      <w:pPr>
        <w:pStyle w:val="TCBNadpis2"/>
      </w:pPr>
      <w:bookmarkStart w:id="81" w:name="_Toc142307564"/>
      <w:r w:rsidRPr="00141E64">
        <w:lastRenderedPageBreak/>
        <w:t>Barevné řešení</w:t>
      </w:r>
      <w:bookmarkEnd w:id="81"/>
      <w:r w:rsidRPr="00141E64">
        <w:t xml:space="preserve"> </w:t>
      </w:r>
    </w:p>
    <w:p w14:paraId="5DD8772C" w14:textId="47753D83" w:rsidR="00354C79" w:rsidRPr="00141E64" w:rsidRDefault="00354C79" w:rsidP="00141E64">
      <w:pPr>
        <w:pStyle w:val="TCBNormalni"/>
      </w:pPr>
      <w:r w:rsidRPr="00141E64">
        <w:t xml:space="preserve">Architektonické řešení nově </w:t>
      </w:r>
      <w:r w:rsidR="0066385C" w:rsidRPr="00141E64">
        <w:t>navrhovaných,</w:t>
      </w:r>
      <w:r w:rsidRPr="00141E64">
        <w:t xml:space="preserve"> respektive </w:t>
      </w:r>
      <w:r w:rsidR="0066385C" w:rsidRPr="00141E64">
        <w:t>částí budov</w:t>
      </w:r>
      <w:r w:rsidRPr="00141E64">
        <w:t xml:space="preserve"> bude klást důraz na architektonický a barevný </w:t>
      </w:r>
      <w:r w:rsidR="00451749" w:rsidRPr="00141E64">
        <w:t xml:space="preserve">soulad </w:t>
      </w:r>
      <w:r w:rsidRPr="00141E64">
        <w:t>s okolními dochovanými budovami a technologiemi, zejména na umístění bran a oken, architektonické řešení detailů, pečlivě zpracované.</w:t>
      </w:r>
    </w:p>
    <w:p w14:paraId="521F443A" w14:textId="7D46ACC6" w:rsidR="00354C79" w:rsidRPr="00141E64" w:rsidRDefault="00354C79" w:rsidP="00141E64">
      <w:pPr>
        <w:pStyle w:val="TCBNormalni"/>
      </w:pPr>
      <w:r w:rsidRPr="00141E64">
        <w:t>Při návrhu barevného řešení je nutné vycházet z barevné harmonie nově navržených a</w:t>
      </w:r>
      <w:r w:rsidR="00E638E8">
        <w:t> </w:t>
      </w:r>
      <w:r w:rsidRPr="00141E64">
        <w:t>zrekonstruovaných stávajících budov, včetně nedávno postavených budov v blízkém sousedství.</w:t>
      </w:r>
    </w:p>
    <w:p w14:paraId="6668B27B" w14:textId="1C293FAA" w:rsidR="00B66DAF" w:rsidRPr="00B66DAF" w:rsidRDefault="00B66DAF" w:rsidP="00B66DAF">
      <w:pPr>
        <w:pStyle w:val="TCBNormalni"/>
      </w:pPr>
      <w:r w:rsidRPr="00B66DAF">
        <w:t>Barevné řešení potrubí a technologických zařízení vychází z ČSN 13 0072</w:t>
      </w:r>
      <w:r w:rsidR="00B17CC5">
        <w:t xml:space="preserve"> a z Interního technického standardu OBJEDNATELE</w:t>
      </w:r>
      <w:r w:rsidR="00F57B46">
        <w:t xml:space="preserve"> (ITS</w:t>
      </w:r>
      <w:r w:rsidR="00CC5CF0">
        <w:t xml:space="preserve"> 1.08</w:t>
      </w:r>
      <w:r w:rsidR="00F57B46">
        <w:t>)</w:t>
      </w:r>
      <w:r w:rsidRPr="00B66DAF">
        <w:t xml:space="preserve">. </w:t>
      </w:r>
    </w:p>
    <w:p w14:paraId="5994004F" w14:textId="77777777" w:rsidR="00B66DAF" w:rsidRPr="00B66DAF" w:rsidRDefault="00B66DAF" w:rsidP="00B66DAF">
      <w:pPr>
        <w:pStyle w:val="TCBNormalni"/>
      </w:pPr>
      <w:r w:rsidRPr="00B66DAF">
        <w:t xml:space="preserve">Obecně platí, že potrubí a technologické zařízení je natřeno v odstínu hlavního média či systému, k němuž organicky </w:t>
      </w:r>
      <w:proofErr w:type="gramStart"/>
      <w:r w:rsidRPr="00B66DAF">
        <w:t>patří</w:t>
      </w:r>
      <w:proofErr w:type="gramEnd"/>
      <w:r w:rsidRPr="00B66DAF">
        <w:t xml:space="preserve">. Pouze výjimečně je ponechána povrchová úprava zařízení, jak zařízení běžně dodává výrobce (komponenty elektro apod.) nebo je ponecháno bez nátěru (komponenty čidel měření z nerezu apod.). </w:t>
      </w:r>
    </w:p>
    <w:p w14:paraId="1DDCB88F" w14:textId="703B2562" w:rsidR="00B66DAF" w:rsidRPr="00B66DAF" w:rsidRDefault="00B66DAF" w:rsidP="00B66DAF">
      <w:pPr>
        <w:pStyle w:val="TCBNormalni"/>
      </w:pPr>
      <w:r w:rsidRPr="00B66DAF">
        <w:t>Povrchy veškerých neizolovaných potrubí včetně armatur budou v celé ploše natřeny barvou v barevném odstínu stanoveném</w:t>
      </w:r>
      <w:r w:rsidR="0097486E">
        <w:t xml:space="preserve"> v Interním technickém předpisu OBJEDNATELE</w:t>
      </w:r>
      <w:r w:rsidRPr="00B66DAF">
        <w:t>.</w:t>
      </w:r>
    </w:p>
    <w:p w14:paraId="37A101F8" w14:textId="2563B8F9" w:rsidR="00B66DAF" w:rsidRPr="00B66DAF" w:rsidRDefault="00B66DAF" w:rsidP="00B66DAF">
      <w:pPr>
        <w:pStyle w:val="TCBNormalni"/>
      </w:pPr>
      <w:r w:rsidRPr="00B66DAF">
        <w:t xml:space="preserve">Povrchy tepelných izolací budou ponechány v přírodním odstínu pozinku s příčnými pruhy v barevném odstínu dle </w:t>
      </w:r>
      <w:r w:rsidR="00F57B46">
        <w:t>ITS</w:t>
      </w:r>
      <w:r w:rsidRPr="00B66DAF">
        <w:t xml:space="preserve">. </w:t>
      </w:r>
    </w:p>
    <w:p w14:paraId="10772BD3" w14:textId="1366BF17" w:rsidR="00C30EA6" w:rsidRDefault="00B66DAF" w:rsidP="00C30EA6">
      <w:pPr>
        <w:pStyle w:val="TCBNormalni"/>
      </w:pPr>
      <w:r w:rsidRPr="00141E64">
        <w:t>Barevné řešení (odstín) dotčených ploch bude zpracováno ZHOTOVITELEM a odsouhlaseno OBJEDNATELEM</w:t>
      </w:r>
      <w:r w:rsidR="00E1765E">
        <w:t>.</w:t>
      </w:r>
    </w:p>
    <w:p w14:paraId="46D8EBA9" w14:textId="77777777" w:rsidR="00C30EA6" w:rsidRPr="00043C5C" w:rsidRDefault="00C30EA6" w:rsidP="00D65FAF">
      <w:pPr>
        <w:pStyle w:val="TCBNadpis2"/>
      </w:pPr>
      <w:bookmarkStart w:id="82" w:name="_Toc116789922"/>
      <w:bookmarkStart w:id="83" w:name="_Toc116790494"/>
      <w:bookmarkStart w:id="84" w:name="_Toc116790596"/>
      <w:bookmarkStart w:id="85" w:name="_Toc116789923"/>
      <w:bookmarkStart w:id="86" w:name="_Toc116790495"/>
      <w:bookmarkStart w:id="87" w:name="_Toc116790597"/>
      <w:bookmarkStart w:id="88" w:name="_Toc116112023"/>
      <w:bookmarkStart w:id="89" w:name="_Toc116278745"/>
      <w:bookmarkStart w:id="90" w:name="_Toc116790601"/>
      <w:bookmarkStart w:id="91" w:name="_Toc116958290"/>
      <w:bookmarkStart w:id="92" w:name="_Toc141683013"/>
      <w:bookmarkStart w:id="93" w:name="_Toc142307565"/>
      <w:bookmarkEnd w:id="82"/>
      <w:bookmarkEnd w:id="83"/>
      <w:bookmarkEnd w:id="84"/>
      <w:bookmarkEnd w:id="85"/>
      <w:bookmarkEnd w:id="86"/>
      <w:bookmarkEnd w:id="87"/>
      <w:r w:rsidRPr="00043C5C">
        <w:t>Standardizace</w:t>
      </w:r>
      <w:bookmarkEnd w:id="88"/>
      <w:bookmarkEnd w:id="89"/>
      <w:bookmarkEnd w:id="90"/>
      <w:bookmarkEnd w:id="91"/>
      <w:bookmarkEnd w:id="92"/>
      <w:bookmarkEnd w:id="93"/>
    </w:p>
    <w:p w14:paraId="0AD57A1B" w14:textId="2EDFC373" w:rsidR="00C30EA6" w:rsidRPr="00043C5C" w:rsidRDefault="00936356" w:rsidP="00C30EA6">
      <w:pPr>
        <w:pStyle w:val="TCBNormalni"/>
      </w:pPr>
      <w:r w:rsidRPr="00141E64">
        <w:t xml:space="preserve">ZHOTOVITELEM </w:t>
      </w:r>
      <w:r w:rsidR="00C30EA6" w:rsidRPr="00043C5C">
        <w:t>musí standardizovat zařízení, jak dalece je to možné. Požaduje se, aby při použití stejného zařízení o stejných parametrech, které se vyskytuje ve větším počtu (např. armatury apod.) bylo použito jednotného typu v rámci celé dodávky</w:t>
      </w:r>
      <w:r w:rsidR="00983ED5">
        <w:t>.</w:t>
      </w:r>
    </w:p>
    <w:p w14:paraId="63F1F21D" w14:textId="2FEC6E74" w:rsidR="00C9032D" w:rsidRDefault="00C30EA6" w:rsidP="00782D8A">
      <w:pPr>
        <w:pStyle w:val="TCBNormalni"/>
      </w:pPr>
      <w:r w:rsidRPr="00043C5C">
        <w:t>Nesmí to však mít negativní vliv na funkci, cenu a provozní spolehlivost daného zařízení.</w:t>
      </w:r>
    </w:p>
    <w:p w14:paraId="5EF6BFC4" w14:textId="6F83CD76" w:rsidR="00F06C9F" w:rsidRPr="00F06C9F" w:rsidRDefault="00F06C9F" w:rsidP="00D65FAF">
      <w:pPr>
        <w:pStyle w:val="TCBNadpis2"/>
      </w:pPr>
      <w:bookmarkStart w:id="94" w:name="_Toc142307566"/>
      <w:r w:rsidRPr="00F06C9F">
        <w:t>Nátěry</w:t>
      </w:r>
      <w:bookmarkEnd w:id="94"/>
      <w:r w:rsidRPr="00F06C9F">
        <w:t xml:space="preserve"> </w:t>
      </w:r>
    </w:p>
    <w:p w14:paraId="50EF959C" w14:textId="161D296A" w:rsidR="00F06C9F" w:rsidRPr="00BC751D" w:rsidRDefault="00F06C9F" w:rsidP="00D65FAF">
      <w:pPr>
        <w:pStyle w:val="TCBNadpis3"/>
      </w:pPr>
      <w:bookmarkStart w:id="95" w:name="_Toc142307567"/>
      <w:r w:rsidRPr="00BC751D">
        <w:t>Korozní agresivita</w:t>
      </w:r>
      <w:bookmarkEnd w:id="95"/>
      <w:r w:rsidRPr="00BC751D">
        <w:t xml:space="preserve"> </w:t>
      </w:r>
    </w:p>
    <w:p w14:paraId="00631A10" w14:textId="5E3E90E1" w:rsidR="00740B78" w:rsidRPr="00442E0D" w:rsidRDefault="00740B78" w:rsidP="00F06C9F">
      <w:pPr>
        <w:pStyle w:val="TCBNormalni"/>
      </w:pPr>
      <w:bookmarkStart w:id="96" w:name="_Ref129509632"/>
      <w:bookmarkStart w:id="97" w:name="_Toc136358259"/>
      <w:bookmarkStart w:id="98" w:name="_Toc136359157"/>
      <w:bookmarkStart w:id="99" w:name="_Toc220838445"/>
      <w:bookmarkStart w:id="100" w:name="_Toc221610947"/>
      <w:bookmarkStart w:id="101" w:name="_Toc378783569"/>
      <w:r w:rsidRPr="00442E0D">
        <w:t xml:space="preserve">Stanovení korozní agresivity atmosféry </w:t>
      </w:r>
      <w:r w:rsidR="00DD0453">
        <w:t xml:space="preserve">je provedeno </w:t>
      </w:r>
      <w:r w:rsidRPr="00442E0D">
        <w:t xml:space="preserve">dle </w:t>
      </w:r>
      <w:r w:rsidRPr="00EF6223">
        <w:t>ČSN EN ISO 9223</w:t>
      </w:r>
      <w:bookmarkEnd w:id="96"/>
      <w:bookmarkEnd w:id="97"/>
      <w:bookmarkEnd w:id="98"/>
      <w:bookmarkEnd w:id="99"/>
      <w:bookmarkEnd w:id="100"/>
      <w:bookmarkEnd w:id="101"/>
      <w:r w:rsidR="005C158B">
        <w:t xml:space="preserve"> s výsledkem: </w:t>
      </w:r>
    </w:p>
    <w:p w14:paraId="74EB86CA" w14:textId="596356DD" w:rsidR="00740B78" w:rsidRDefault="00741198" w:rsidP="00F06C9F">
      <w:pPr>
        <w:pStyle w:val="TCBNormalni"/>
      </w:pPr>
      <w:r>
        <w:t>C 4</w:t>
      </w:r>
      <w:r w:rsidR="00740B78" w:rsidRPr="00442E0D">
        <w:tab/>
      </w:r>
      <w:r w:rsidR="00320EA4">
        <w:t xml:space="preserve">v silném stupni korozní </w:t>
      </w:r>
      <w:r w:rsidR="0066385C">
        <w:t>agresivity pro</w:t>
      </w:r>
      <w:r w:rsidR="00B66DAF">
        <w:t xml:space="preserve"> vnitřní i </w:t>
      </w:r>
      <w:r w:rsidR="00320EA4">
        <w:t xml:space="preserve">vnější prostředí </w:t>
      </w:r>
    </w:p>
    <w:p w14:paraId="70C84821" w14:textId="7593FFD9" w:rsidR="00F06C9F" w:rsidRPr="00B66DAF" w:rsidRDefault="00740B78" w:rsidP="00F06C9F">
      <w:pPr>
        <w:pStyle w:val="TCBNormalni"/>
      </w:pPr>
      <w:r w:rsidRPr="00442E0D">
        <w:t xml:space="preserve">Pro části </w:t>
      </w:r>
      <w:r w:rsidR="005C158B" w:rsidRPr="00442E0D">
        <w:t xml:space="preserve">DÍLA </w:t>
      </w:r>
      <w:r w:rsidRPr="00442E0D">
        <w:t xml:space="preserve">jako Vnitřní doprava paliva a další části (i stávající), u kterých bude docházet k přímému styku paliva s konstrukcemi, není korozní agresivita stanovena. Budou však Zhotovitelem navrženy z takových materiálů a s takovou protikorozní </w:t>
      </w:r>
      <w:r w:rsidR="00A80591" w:rsidRPr="00442E0D">
        <w:t>ochranou,</w:t>
      </w:r>
      <w:r w:rsidRPr="00442E0D">
        <w:t xml:space="preserve"> aby byla zajištěna životnost nad 15 let.</w:t>
      </w:r>
    </w:p>
    <w:p w14:paraId="3F9D002C" w14:textId="1D2241CC" w:rsidR="00F06C9F" w:rsidRPr="00B66DAF" w:rsidRDefault="00B66DAF" w:rsidP="00D65FAF">
      <w:pPr>
        <w:pStyle w:val="TCBNadpis3"/>
      </w:pPr>
      <w:bookmarkStart w:id="102" w:name="_Toc142307568"/>
      <w:r>
        <w:t>Obecné požadavky</w:t>
      </w:r>
      <w:bookmarkEnd w:id="102"/>
      <w:r>
        <w:t xml:space="preserve"> </w:t>
      </w:r>
    </w:p>
    <w:p w14:paraId="051C5CEC" w14:textId="5A3AE614" w:rsidR="00F06C9F" w:rsidRPr="00B66DAF" w:rsidRDefault="00F06C9F" w:rsidP="00F06C9F">
      <w:pPr>
        <w:pStyle w:val="TCBNormalni"/>
      </w:pPr>
      <w:r w:rsidRPr="00B66DAF">
        <w:t xml:space="preserve">Systémy povrchové ochrany </w:t>
      </w:r>
      <w:r w:rsidR="0096496A" w:rsidRPr="00B66DAF">
        <w:t xml:space="preserve">DÍLA </w:t>
      </w:r>
      <w:r w:rsidRPr="00B66DAF">
        <w:t xml:space="preserve">a jeho částí budou navrženy a provedeny dle souboru norem ČSN EN ISO 12944 a souvisejících pro vysokou životnost (H) nad </w:t>
      </w:r>
      <w:r w:rsidR="00B66DAF">
        <w:t>20</w:t>
      </w:r>
      <w:r w:rsidRPr="00B66DAF">
        <w:t xml:space="preserve"> let a agresivní průmyslové </w:t>
      </w:r>
      <w:r w:rsidR="0066385C" w:rsidRPr="00B66DAF">
        <w:t>prostředí C</w:t>
      </w:r>
      <w:r w:rsidR="004B72B5" w:rsidRPr="00B66DAF">
        <w:t>4.</w:t>
      </w:r>
    </w:p>
    <w:p w14:paraId="2C258168" w14:textId="77777777" w:rsidR="00F06C9F" w:rsidRPr="00B66DAF" w:rsidRDefault="00F06C9F" w:rsidP="00F06C9F">
      <w:pPr>
        <w:pStyle w:val="TCBNormalni"/>
      </w:pPr>
      <w:r w:rsidRPr="00B66DAF">
        <w:t>Pro nátěry budou použity ekologicky nezávadné materiály.</w:t>
      </w:r>
    </w:p>
    <w:p w14:paraId="232CCA4E" w14:textId="02E91818" w:rsidR="00B66DAF" w:rsidRPr="00B66DAF" w:rsidRDefault="009E4E0E" w:rsidP="009E4E0E">
      <w:pPr>
        <w:pStyle w:val="TCBNormalni"/>
      </w:pPr>
      <w:r w:rsidRPr="00B66DAF">
        <w:t>Všechny vnější kovové povrchy zařízení a konstrukcí, které by mohly podléhat koro</w:t>
      </w:r>
      <w:r w:rsidR="00451749">
        <w:t>z</w:t>
      </w:r>
      <w:r w:rsidRPr="00B66DAF">
        <w:t xml:space="preserve">i budou opatřeny vhodnou povrchovou úpravou. </w:t>
      </w:r>
    </w:p>
    <w:p w14:paraId="2FA50766" w14:textId="22574B9A" w:rsidR="009E4E0E" w:rsidRPr="00B66DAF" w:rsidRDefault="009E4E0E" w:rsidP="009E4E0E">
      <w:pPr>
        <w:pStyle w:val="TCBNormalni"/>
      </w:pPr>
      <w:r w:rsidRPr="00B66DAF">
        <w:t xml:space="preserve">Tato povrchová úprava bude odpovídat teplotě povrchu a </w:t>
      </w:r>
      <w:proofErr w:type="spellStart"/>
      <w:r w:rsidRPr="00B66DAF">
        <w:t>koro</w:t>
      </w:r>
      <w:r w:rsidR="00451749">
        <w:t>z</w:t>
      </w:r>
      <w:r w:rsidRPr="00B66DAF">
        <w:t>ivnosti</w:t>
      </w:r>
      <w:proofErr w:type="spellEnd"/>
      <w:r w:rsidRPr="00B66DAF">
        <w:t xml:space="preserve"> prostředí. V současné době je lokalita Staveniště zařazena do stupně korozní agresivity atmosféry C</w:t>
      </w:r>
      <w:r w:rsidR="00B66DAF" w:rsidRPr="00B66DAF">
        <w:t>4</w:t>
      </w:r>
      <w:r w:rsidRPr="00B66DAF">
        <w:t>.</w:t>
      </w:r>
    </w:p>
    <w:p w14:paraId="39ADCBF7" w14:textId="77777777" w:rsidR="00B66DAF" w:rsidRPr="00B66DAF" w:rsidRDefault="009E4E0E" w:rsidP="009E4E0E">
      <w:pPr>
        <w:pStyle w:val="TCBNormalni"/>
      </w:pPr>
      <w:r w:rsidRPr="00B66DAF">
        <w:lastRenderedPageBreak/>
        <w:t xml:space="preserve">Aplikace ochranných nátěrů bude prováděna podle platných norem a podle technologie, předepsané výrobcem nátěrů. </w:t>
      </w:r>
    </w:p>
    <w:p w14:paraId="507BBAE1" w14:textId="77777777" w:rsidR="00B66DAF" w:rsidRDefault="009E4E0E" w:rsidP="009E4E0E">
      <w:pPr>
        <w:pStyle w:val="TCBNormalni"/>
      </w:pPr>
      <w:r w:rsidRPr="00B66DAF">
        <w:t xml:space="preserve">Základní a vrchní nátěry a jejich odstíny budou v souladu s platnými normami. </w:t>
      </w:r>
    </w:p>
    <w:p w14:paraId="11D5A0F6" w14:textId="77777777" w:rsidR="009E4E0E" w:rsidRPr="00B66DAF" w:rsidRDefault="009E4E0E" w:rsidP="009E4E0E">
      <w:pPr>
        <w:pStyle w:val="TCBNormalni"/>
      </w:pPr>
      <w:r w:rsidRPr="00B66DAF">
        <w:t>Pokud bude povrchová úprava řešena pokovením, připouští se pouze kompaktní žárové pozinkování.</w:t>
      </w:r>
    </w:p>
    <w:p w14:paraId="4B8CA6F4" w14:textId="77777777" w:rsidR="009E4E0E" w:rsidRPr="00B66DAF" w:rsidRDefault="009E4E0E" w:rsidP="009E4E0E">
      <w:pPr>
        <w:pStyle w:val="TCBNormalni"/>
      </w:pPr>
      <w:r w:rsidRPr="00B66DAF">
        <w:t>Veškeré zařízení dodávané k montáži bude opatřeno konečnými nátěry. Po montáži se budou provádět pouze opravy nátěrů, a to předepsaným nátěrovým systémem, technologií a odstíny.</w:t>
      </w:r>
    </w:p>
    <w:p w14:paraId="6DEDB136" w14:textId="0EB256B7" w:rsidR="009E4E0E" w:rsidRPr="00B66DAF" w:rsidRDefault="009E4E0E" w:rsidP="009E4E0E">
      <w:pPr>
        <w:pStyle w:val="TCBNormalni"/>
      </w:pPr>
      <w:r w:rsidRPr="00B66DAF">
        <w:t xml:space="preserve">Zařízení, jehož povrchy nebudou z provozních důvodů natírány, budou opatřeny ochrannou konservační vrstvou pro skladování u výrobce a </w:t>
      </w:r>
      <w:r w:rsidR="00936356" w:rsidRPr="00141E64">
        <w:t>ZHOTOVITELE</w:t>
      </w:r>
      <w:r w:rsidRPr="00B66DAF">
        <w:t xml:space="preserve">. Před jejich dopravou na </w:t>
      </w:r>
      <w:r w:rsidR="00EA728E">
        <w:t>s</w:t>
      </w:r>
      <w:r w:rsidRPr="00B66DAF">
        <w:t xml:space="preserve">taveniště bude konservační vrstva řádně odstraněna a povrch bude vhodným způsobem chráněn před nečistotami a vlhkostí. </w:t>
      </w:r>
    </w:p>
    <w:p w14:paraId="52B444E6" w14:textId="7C65A30E" w:rsidR="009E4E0E" w:rsidRPr="00B66DAF" w:rsidRDefault="009E4E0E" w:rsidP="009E4E0E">
      <w:pPr>
        <w:pStyle w:val="TCBNormalni"/>
      </w:pPr>
      <w:r w:rsidRPr="00B66DAF">
        <w:t>Žádná část zařízení nesmí být bez nátěru nebo kon</w:t>
      </w:r>
      <w:r w:rsidR="002D247B">
        <w:t>z</w:t>
      </w:r>
      <w:r w:rsidRPr="00B66DAF">
        <w:t>ervace déle, než 24 hodin.</w:t>
      </w:r>
    </w:p>
    <w:p w14:paraId="68C41520" w14:textId="77777777" w:rsidR="009E4E0E" w:rsidRPr="00B66DAF" w:rsidRDefault="009E4E0E" w:rsidP="009E4E0E">
      <w:pPr>
        <w:pStyle w:val="TCBNormalni"/>
      </w:pPr>
      <w:r w:rsidRPr="00B66DAF">
        <w:t>V případě, že zařízení nemůže být dopravováno bez konservačního nátěru, musí být možné tento nátěr snadno odstranit bez použití organických rozpouštědel.</w:t>
      </w:r>
    </w:p>
    <w:p w14:paraId="456B6A34" w14:textId="4635EFE2" w:rsidR="009E4E0E" w:rsidRPr="00B66DAF" w:rsidRDefault="00956185" w:rsidP="009E4E0E">
      <w:pPr>
        <w:pStyle w:val="TCBNormalni"/>
      </w:pPr>
      <w:r>
        <w:t>Musí být splněno:</w:t>
      </w:r>
    </w:p>
    <w:p w14:paraId="44D63737" w14:textId="77777777" w:rsidR="009E4E0E" w:rsidRPr="00B66DAF" w:rsidRDefault="009E4E0E" w:rsidP="00FA00D2">
      <w:pPr>
        <w:pStyle w:val="TCBNormalni"/>
        <w:numPr>
          <w:ilvl w:val="0"/>
          <w:numId w:val="16"/>
        </w:numPr>
      </w:pPr>
      <w:r w:rsidRPr="00B66DAF">
        <w:t>Veškeré kovové vybavení musí být chráněno proti korozi během skladování, dopravy, montáže a provozu.</w:t>
      </w:r>
    </w:p>
    <w:p w14:paraId="69110927" w14:textId="77777777" w:rsidR="009E4E0E" w:rsidRPr="00B66DAF" w:rsidRDefault="009E4E0E" w:rsidP="00FA00D2">
      <w:pPr>
        <w:pStyle w:val="TCBNormalni"/>
        <w:numPr>
          <w:ilvl w:val="0"/>
          <w:numId w:val="16"/>
        </w:numPr>
      </w:pPr>
      <w:r w:rsidRPr="00B66DAF">
        <w:t>V případě nátěru: svařované spoje budou natřeny až po kontrole sváru a úspěšné zkoušce těsnosti.</w:t>
      </w:r>
    </w:p>
    <w:p w14:paraId="4D9904A5" w14:textId="77777777" w:rsidR="009E4E0E" w:rsidRPr="00B66DAF" w:rsidRDefault="009E4E0E" w:rsidP="00FA00D2">
      <w:pPr>
        <w:pStyle w:val="TCBNormalni"/>
        <w:numPr>
          <w:ilvl w:val="0"/>
          <w:numId w:val="16"/>
        </w:numPr>
      </w:pPr>
      <w:r w:rsidRPr="00B66DAF">
        <w:t xml:space="preserve">Kovové povrchy musí být před natřením očištěné a připravené pro nátěr. </w:t>
      </w:r>
    </w:p>
    <w:p w14:paraId="6BD83F8B" w14:textId="07E5B370" w:rsidR="009E4E0E" w:rsidRPr="00B66DAF" w:rsidRDefault="009E4E0E" w:rsidP="00C96BB8">
      <w:pPr>
        <w:pStyle w:val="TCBNormalni"/>
        <w:numPr>
          <w:ilvl w:val="0"/>
          <w:numId w:val="16"/>
        </w:numPr>
      </w:pPr>
      <w:r w:rsidRPr="00B66DAF">
        <w:t xml:space="preserve">Každý kovový povrch musí být natřen jednou vrstvou ochranného nátěru. Po odstranění nečistot případně rzi musí být potrubí chráněno jednou vrstvou základového nátěru a jednou vrstvou krycí barvy. Ochranný nátěr musí být vybrán podle maximální provozní teploty média. </w:t>
      </w:r>
    </w:p>
    <w:p w14:paraId="707C8380" w14:textId="0359A9E8" w:rsidR="00F06C9F" w:rsidRPr="00B66DAF" w:rsidRDefault="00F06C9F" w:rsidP="00B66DAF">
      <w:pPr>
        <w:pStyle w:val="TCBNormalni"/>
      </w:pPr>
      <w:r w:rsidRPr="00B66DAF">
        <w:t>Obecně je pro nátěrové systémy požadováno:</w:t>
      </w:r>
    </w:p>
    <w:p w14:paraId="73CDC001" w14:textId="77777777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>Pro nátěrové systémy mohou být použity pouze materiály s nízkým obsahem těkavých organických látek (VOC).</w:t>
      </w:r>
    </w:p>
    <w:p w14:paraId="374BE5F8" w14:textId="122183EA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>Podle charakteru zařízeni, jeho rozměrů, podmínek pro dopravu a skladování na staveništi a</w:t>
      </w:r>
      <w:r w:rsidR="009B6AC9">
        <w:t> </w:t>
      </w:r>
      <w:r w:rsidRPr="00B66DAF">
        <w:t>podle podmínek montáže platí pro povrchovou ochranu jednotlivých komponentů zejména následující požadavky:</w:t>
      </w:r>
    </w:p>
    <w:p w14:paraId="75C21B74" w14:textId="77777777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 xml:space="preserve">Hutní materiál (tj. trubky, profilový materiál) bude dodáván na stavbu povrchově chráněný. </w:t>
      </w:r>
    </w:p>
    <w:p w14:paraId="32A43278" w14:textId="7197D584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 xml:space="preserve">Izolované plochy budou natřeny pouze jednovrstvým nátěrem pod izolací ze speciální pryskyřice, která při teplotě nad </w:t>
      </w:r>
      <w:r w:rsidR="00A80591" w:rsidRPr="00B66DAF">
        <w:t>180 °C</w:t>
      </w:r>
      <w:r w:rsidRPr="00B66DAF">
        <w:t xml:space="preserve"> ekologicky </w:t>
      </w:r>
      <w:proofErr w:type="gramStart"/>
      <w:r w:rsidRPr="00B66DAF">
        <w:t>shoří</w:t>
      </w:r>
      <w:proofErr w:type="gramEnd"/>
      <w:r w:rsidRPr="00B66DAF">
        <w:t>, (pokud nebude ve výrobní dokumentaci uvedeno jinak). Izolace bude krytá plechem dle specifikace izolací, který nebude natírán, ale bude označen barevnými pruhy s odstínem, který určuje protékající médium.</w:t>
      </w:r>
    </w:p>
    <w:p w14:paraId="6030ECD9" w14:textId="77777777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>Povrchy zařízení určené pro přímý styk se stavebními prvky – beton, betonová mazanina anebo které budou přímo zabetonovány / zazděny atd. - budou bez nátěru, pokud není v dokumentaci přímo požadováno jinak.</w:t>
      </w:r>
    </w:p>
    <w:p w14:paraId="4FFB3711" w14:textId="1FE3F3A2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>Použité nátěrové systémy budou odpovídat korozní agresivitě prostředí i okolním teplotám</w:t>
      </w:r>
      <w:r w:rsidR="0099168E">
        <w:t xml:space="preserve"> a</w:t>
      </w:r>
      <w:r w:rsidR="009B6AC9">
        <w:t> </w:t>
      </w:r>
      <w:r w:rsidR="0099168E">
        <w:t xml:space="preserve">požadavku na </w:t>
      </w:r>
      <w:r w:rsidR="00A173A7">
        <w:t>předpokládanou</w:t>
      </w:r>
      <w:r w:rsidR="0099168E">
        <w:t xml:space="preserve"> životnost protikorozní ochrany</w:t>
      </w:r>
      <w:r w:rsidR="009B6AC9">
        <w:t>.</w:t>
      </w:r>
    </w:p>
    <w:p w14:paraId="737C7924" w14:textId="77777777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>Finální povrch bude dostatečně odolávat mechanickému působení odpovídajícímu provozu v daném prostoru.</w:t>
      </w:r>
    </w:p>
    <w:p w14:paraId="09403E7C" w14:textId="77777777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>Nátěrové hmoty budou odpovídat podkladovému materiálu, budou dostatečně krycí, barevně stálé, budou vytvářet stejnoměrné vrstvy, použitá ředidla budou bezpečná a zdravotně nezávadná.</w:t>
      </w:r>
    </w:p>
    <w:p w14:paraId="00A9DDD0" w14:textId="77777777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lastRenderedPageBreak/>
        <w:t xml:space="preserve">Související normy a technické listy výrobců jednotlivých nátěrových hmot: budou respektovány při návrhu stavby a pro aplikaci nátěrů (jedná se zejména o nepoužívání uzavřených </w:t>
      </w:r>
      <w:proofErr w:type="gramStart"/>
      <w:r w:rsidRPr="00B66DAF">
        <w:t>profilů - vše</w:t>
      </w:r>
      <w:proofErr w:type="gramEnd"/>
      <w:r w:rsidRPr="00B66DAF">
        <w:t xml:space="preserve"> je nutno natřít, průběžné sváry a dodržení maximální doby mezi tryskáním a aplikací základního nátěru v závislosti na klimatických podmínkách)</w:t>
      </w:r>
    </w:p>
    <w:p w14:paraId="0FAF21F9" w14:textId="77777777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>Pro dílce / potrubí / konstrukce / zařízení natírané ve výrobě / na dílně a pouze montované / sestavované na stavbě je nutné uvažovat s minimálně 10% výměry pro opravu nátěru po instalaci / sestavení.</w:t>
      </w:r>
    </w:p>
    <w:p w14:paraId="4CB703C8" w14:textId="13E6BD73" w:rsidR="00F06C9F" w:rsidRPr="00B66DAF" w:rsidRDefault="00F06C9F" w:rsidP="00FA00D2">
      <w:pPr>
        <w:pStyle w:val="TCBNormalni"/>
        <w:numPr>
          <w:ilvl w:val="0"/>
          <w:numId w:val="16"/>
        </w:numPr>
      </w:pPr>
      <w:r w:rsidRPr="00B66DAF">
        <w:t>Odstín vrchního nátěru – Barevné řešení vrchního nátěru bude provedeno v souladu s</w:t>
      </w:r>
      <w:r w:rsidR="00F57B46">
        <w:t xml:space="preserve"> ITS</w:t>
      </w:r>
      <w:r w:rsidRPr="00B66DAF">
        <w:t xml:space="preserve"> a</w:t>
      </w:r>
      <w:r w:rsidR="00255797">
        <w:t> </w:t>
      </w:r>
      <w:r w:rsidRPr="00B66DAF">
        <w:t xml:space="preserve">bude v konečné verzi odsouhlaseno </w:t>
      </w:r>
      <w:r w:rsidR="004B1B9D">
        <w:t>o</w:t>
      </w:r>
      <w:r w:rsidRPr="00B66DAF">
        <w:t xml:space="preserve">bjednatelem v rámci projektové dokumentace </w:t>
      </w:r>
      <w:r w:rsidR="00433E50">
        <w:t>k DÍLU</w:t>
      </w:r>
      <w:r w:rsidRPr="00B66DAF">
        <w:t>.</w:t>
      </w:r>
    </w:p>
    <w:p w14:paraId="7C857A43" w14:textId="174C78E5" w:rsidR="00B66DAF" w:rsidRPr="00B66DAF" w:rsidRDefault="00F06C9F" w:rsidP="00B66DAF">
      <w:pPr>
        <w:pStyle w:val="TCBNormalni"/>
      </w:pPr>
      <w:r w:rsidRPr="00B66DAF">
        <w:t>Díly provedené z nekorodujícího materiálu (nerez) nebudou, pokud není výslovně uvedeno jinak, c</w:t>
      </w:r>
      <w:r w:rsidR="004B1B9D">
        <w:t>elé</w:t>
      </w:r>
      <w:r w:rsidR="00320EA4" w:rsidRPr="00B66DAF">
        <w:t xml:space="preserve"> </w:t>
      </w:r>
      <w:r w:rsidR="00A80591">
        <w:t>ochráněny</w:t>
      </w:r>
      <w:r w:rsidRPr="00B66DAF">
        <w:t xml:space="preserve"> nátěry anebo jiným systéme ochrany povrchu.</w:t>
      </w:r>
    </w:p>
    <w:p w14:paraId="7F97DDDA" w14:textId="01B8E237" w:rsidR="00B66DAF" w:rsidRPr="00B66DAF" w:rsidRDefault="00B66DAF" w:rsidP="00B66DAF">
      <w:pPr>
        <w:pStyle w:val="TCBNormalni"/>
      </w:pPr>
      <w:r w:rsidRPr="00B66DAF">
        <w:t xml:space="preserve">Žárové pozinkování </w:t>
      </w:r>
    </w:p>
    <w:p w14:paraId="6AB2AF7B" w14:textId="58563E10" w:rsidR="00F06C9F" w:rsidRPr="00B66DAF" w:rsidRDefault="00F06C9F" w:rsidP="00B66DAF">
      <w:pPr>
        <w:pStyle w:val="TCBNormalni"/>
      </w:pPr>
      <w:r w:rsidRPr="00B66DAF">
        <w:t>Následující části / dílce / prvky / konstrukce, které jsou součástí zakázky, budou provedeny s ochranou povrchu žárovým zinkováním s plánovanou životností minimálně 25 let:</w:t>
      </w:r>
    </w:p>
    <w:p w14:paraId="6402EE41" w14:textId="6BC6A714" w:rsidR="00F06C9F" w:rsidRPr="00B66DAF" w:rsidRDefault="004A6C55" w:rsidP="00FA00D2">
      <w:pPr>
        <w:pStyle w:val="TCBNormalni"/>
        <w:numPr>
          <w:ilvl w:val="0"/>
          <w:numId w:val="17"/>
        </w:numPr>
      </w:pPr>
      <w:r>
        <w:t>ž</w:t>
      </w:r>
      <w:r w:rsidR="00F06C9F" w:rsidRPr="00B66DAF">
        <w:t>ebříky včetně ochranných košů a bezpečnostních závor – pokud není výslovně uvedeno jinak,</w:t>
      </w:r>
    </w:p>
    <w:p w14:paraId="5F7B1505" w14:textId="3F04ABD1" w:rsidR="00F06C9F" w:rsidRPr="00B66DAF" w:rsidRDefault="004A6C55" w:rsidP="00FA00D2">
      <w:pPr>
        <w:pStyle w:val="TCBNormalni"/>
        <w:numPr>
          <w:ilvl w:val="0"/>
          <w:numId w:val="17"/>
        </w:numPr>
      </w:pPr>
      <w:r>
        <w:t>s</w:t>
      </w:r>
      <w:r w:rsidR="00F06C9F" w:rsidRPr="00B66DAF">
        <w:t>chodnice,</w:t>
      </w:r>
    </w:p>
    <w:p w14:paraId="0FE23FC1" w14:textId="31404D04" w:rsidR="00F06C9F" w:rsidRPr="00B66DAF" w:rsidRDefault="004A6C55" w:rsidP="00FA00D2">
      <w:pPr>
        <w:pStyle w:val="TCBNormalni"/>
        <w:numPr>
          <w:ilvl w:val="0"/>
          <w:numId w:val="17"/>
        </w:numPr>
      </w:pPr>
      <w:r>
        <w:t>s</w:t>
      </w:r>
      <w:r w:rsidR="00F06C9F" w:rsidRPr="00B66DAF">
        <w:t>tožáry osvětlení,</w:t>
      </w:r>
    </w:p>
    <w:p w14:paraId="75B487E8" w14:textId="0AD74F00" w:rsidR="00F06C9F" w:rsidRPr="00B66DAF" w:rsidRDefault="004A6C55" w:rsidP="00FA00D2">
      <w:pPr>
        <w:pStyle w:val="TCBNormalni"/>
        <w:numPr>
          <w:ilvl w:val="0"/>
          <w:numId w:val="17"/>
        </w:numPr>
      </w:pPr>
      <w:r>
        <w:t>v</w:t>
      </w:r>
      <w:r w:rsidR="00F06C9F" w:rsidRPr="00B66DAF">
        <w:t>ýložníky lamp a světel,</w:t>
      </w:r>
    </w:p>
    <w:p w14:paraId="29CEC359" w14:textId="00FE5D7D" w:rsidR="00F06C9F" w:rsidRPr="00B66DAF" w:rsidRDefault="004A6C55" w:rsidP="00FA00D2">
      <w:pPr>
        <w:pStyle w:val="TCBNormalni"/>
        <w:numPr>
          <w:ilvl w:val="0"/>
          <w:numId w:val="17"/>
        </w:numPr>
      </w:pPr>
      <w:r>
        <w:t>k</w:t>
      </w:r>
      <w:r w:rsidR="00F06C9F" w:rsidRPr="00B66DAF">
        <w:t>abelové žlaby včetně krytů a přechodů,</w:t>
      </w:r>
    </w:p>
    <w:p w14:paraId="7C28EEBE" w14:textId="39553783" w:rsidR="00F06C9F" w:rsidRPr="00B66DAF" w:rsidRDefault="004A6C55" w:rsidP="00FA00D2">
      <w:pPr>
        <w:pStyle w:val="TCBNormalni"/>
        <w:numPr>
          <w:ilvl w:val="0"/>
          <w:numId w:val="17"/>
        </w:numPr>
      </w:pPr>
      <w:r>
        <w:t>k</w:t>
      </w:r>
      <w:r w:rsidR="00F06C9F" w:rsidRPr="00B66DAF">
        <w:t xml:space="preserve">abelové externí </w:t>
      </w:r>
      <w:proofErr w:type="spellStart"/>
      <w:r w:rsidR="00F06C9F" w:rsidRPr="00B66DAF">
        <w:t>trubkovody</w:t>
      </w:r>
      <w:proofErr w:type="spellEnd"/>
      <w:r w:rsidR="00F06C9F" w:rsidRPr="00B66DAF">
        <w:t>,</w:t>
      </w:r>
    </w:p>
    <w:p w14:paraId="495BDED1" w14:textId="153F71CA" w:rsidR="00F06C9F" w:rsidRPr="00B66DAF" w:rsidRDefault="004A6C55" w:rsidP="00FA00D2">
      <w:pPr>
        <w:pStyle w:val="TCBNormalni"/>
        <w:numPr>
          <w:ilvl w:val="0"/>
          <w:numId w:val="17"/>
        </w:numPr>
      </w:pPr>
      <w:r>
        <w:t>z</w:t>
      </w:r>
      <w:r w:rsidR="00F06C9F" w:rsidRPr="00B66DAF">
        <w:t>ábradlí – pokud není výslovně uvedeno jinak,</w:t>
      </w:r>
    </w:p>
    <w:p w14:paraId="647FD210" w14:textId="3DFCFF1E" w:rsidR="00F06C9F" w:rsidRPr="00B66DAF" w:rsidRDefault="004A6C55" w:rsidP="00FA00D2">
      <w:pPr>
        <w:pStyle w:val="TCBNormalni"/>
        <w:numPr>
          <w:ilvl w:val="0"/>
          <w:numId w:val="17"/>
        </w:numPr>
      </w:pPr>
      <w:r>
        <w:t>s</w:t>
      </w:r>
      <w:r w:rsidR="00F06C9F" w:rsidRPr="00B66DAF">
        <w:t>tojany ovládacích skříněk,</w:t>
      </w:r>
    </w:p>
    <w:p w14:paraId="16AA9D5C" w14:textId="2DD3E63C" w:rsidR="00F06C9F" w:rsidRPr="00B66DAF" w:rsidRDefault="004A6C55" w:rsidP="00FA00D2">
      <w:pPr>
        <w:pStyle w:val="TCBNormalni"/>
        <w:numPr>
          <w:ilvl w:val="0"/>
          <w:numId w:val="17"/>
        </w:numPr>
      </w:pPr>
      <w:r>
        <w:t>p</w:t>
      </w:r>
      <w:r w:rsidR="00F06C9F" w:rsidRPr="00B66DAF">
        <w:t>ochozí části ocelových podlah a obslužných lávek – pokud není výslovně uvedeno jinak,</w:t>
      </w:r>
    </w:p>
    <w:p w14:paraId="2A639B54" w14:textId="343206A6" w:rsidR="00F06C9F" w:rsidRPr="00B66DAF" w:rsidRDefault="004A6C55" w:rsidP="00FA00D2">
      <w:pPr>
        <w:pStyle w:val="TCBNormalni"/>
        <w:numPr>
          <w:ilvl w:val="0"/>
          <w:numId w:val="17"/>
        </w:numPr>
      </w:pPr>
      <w:r>
        <w:t>p</w:t>
      </w:r>
      <w:r w:rsidR="00F06C9F" w:rsidRPr="00B66DAF">
        <w:t xml:space="preserve">rvky zemnící sítě – materiál </w:t>
      </w:r>
      <w:proofErr w:type="spellStart"/>
      <w:r w:rsidR="00F06C9F" w:rsidRPr="00B66DAF">
        <w:t>FeZn</w:t>
      </w:r>
      <w:proofErr w:type="spellEnd"/>
      <w:r>
        <w:t>.</w:t>
      </w:r>
    </w:p>
    <w:p w14:paraId="4A4AB53D" w14:textId="77777777" w:rsidR="00F06C9F" w:rsidRPr="00B66DAF" w:rsidRDefault="00F06C9F" w:rsidP="00B66DAF">
      <w:pPr>
        <w:pStyle w:val="TCBNormalni"/>
      </w:pPr>
    </w:p>
    <w:p w14:paraId="6D85FCAA" w14:textId="54ED9A73" w:rsidR="0061736F" w:rsidRDefault="00F06C9F" w:rsidP="00B66DAF">
      <w:pPr>
        <w:pStyle w:val="TCBNormalni"/>
      </w:pPr>
      <w:r w:rsidRPr="00B66DAF">
        <w:t>Uvedené pravidlo nebude použito v případě, že dané dílce budou z konstrukčních anebo provozních důvodů provedeny z jiného materiálu, jakým je například nerez, plast, kompozit a další. Všechny zinkované části nebudou chráněny ochranným nátěrem s výjimkou značení, pokud není výslovně uvedeno jinak.</w:t>
      </w:r>
    </w:p>
    <w:sectPr w:rsidR="0061736F" w:rsidSect="00007F3E">
      <w:headerReference w:type="default" r:id="rId9"/>
      <w:footerReference w:type="default" r:id="rId10"/>
      <w:pgSz w:w="11906" w:h="16838" w:code="9"/>
      <w:pgMar w:top="1418" w:right="1418" w:bottom="1418" w:left="1418" w:header="709" w:footer="17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0625AA" w14:textId="77777777" w:rsidR="00885ECD" w:rsidRDefault="00885ECD" w:rsidP="00317EAD">
      <w:pPr>
        <w:spacing w:after="0" w:line="240" w:lineRule="auto"/>
      </w:pPr>
      <w:r>
        <w:separator/>
      </w:r>
    </w:p>
  </w:endnote>
  <w:endnote w:type="continuationSeparator" w:id="0">
    <w:p w14:paraId="6A3D1CF7" w14:textId="77777777" w:rsidR="00885ECD" w:rsidRDefault="00885ECD" w:rsidP="00317EAD">
      <w:pPr>
        <w:spacing w:after="0" w:line="240" w:lineRule="auto"/>
      </w:pPr>
      <w:r>
        <w:continuationSeparator/>
      </w:r>
    </w:p>
  </w:endnote>
  <w:endnote w:type="continuationNotice" w:id="1">
    <w:p w14:paraId="5939E9E2" w14:textId="77777777" w:rsidR="00885ECD" w:rsidRDefault="00885EC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Arial Narrow">
    <w:altName w:val="Arial"/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AFFE07" w14:textId="6F44EEDE" w:rsidR="00565FFE" w:rsidRPr="002E3103" w:rsidRDefault="00565FFE" w:rsidP="002E3103">
    <w:pPr>
      <w:pStyle w:val="Zpat"/>
      <w:jc w:val="center"/>
      <w:rPr>
        <w:b/>
        <w:bCs/>
      </w:rPr>
    </w:pPr>
    <w:r w:rsidRPr="002E3103">
      <w:rPr>
        <w:b/>
        <w:bCs/>
        <w:noProof/>
        <w:lang w:eastAsia="cs-CZ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1EB292CF" wp14:editId="43B6BF61">
              <wp:simplePos x="0" y="0"/>
              <wp:positionH relativeFrom="column">
                <wp:posOffset>-17200</wp:posOffset>
              </wp:positionH>
              <wp:positionV relativeFrom="paragraph">
                <wp:posOffset>-204829</wp:posOffset>
              </wp:positionV>
              <wp:extent cx="5780598" cy="0"/>
              <wp:effectExtent l="0" t="0" r="0" b="0"/>
              <wp:wrapNone/>
              <wp:docPr id="3" name="Straight Connector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80598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 xmlns:a="http://schemas.openxmlformats.org/drawingml/2006/main" xmlns:arto="http://schemas.microsoft.com/office/word/2006/arto" xmlns:w16du="http://schemas.microsoft.com/office/word/2023/wordml/word16du">
          <w:pict w14:anchorId="22FFDDC5">
            <v:line id="Přímá spojnice 3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spid="_x0000_s1026" strokecolor="black [3200]" strokeweight=".5pt" from="-1.35pt,-16.15pt" to="453.8pt,-16.15pt" w14:anchorId="0A59A8F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">
              <v:stroke joinstyle="miter"/>
            </v:line>
          </w:pict>
        </mc:Fallback>
      </mc:AlternateContent>
    </w:r>
    <w:r w:rsidRPr="002E3103">
      <w:rPr>
        <w:rFonts w:ascii="Arial Narrow" w:hAnsi="Arial Narrow"/>
        <w:b/>
        <w:bCs/>
        <w:iCs/>
      </w:rPr>
      <w:t xml:space="preserve">A </w:t>
    </w:r>
    <w:r w:rsidRPr="00CE56D8">
      <w:rPr>
        <w:rFonts w:ascii="Arial Narrow" w:hAnsi="Arial Narrow"/>
        <w:b/>
        <w:bCs/>
        <w:iCs/>
      </w:rPr>
      <w:t>3 Závazné Technické a Funkční Požadavky</w:t>
    </w:r>
    <w:r w:rsidR="00FA00D2">
      <w:rPr>
        <w:rFonts w:ascii="Arial Narrow" w:hAnsi="Arial Narrow"/>
        <w:b/>
        <w:bCs/>
        <w:iCs/>
      </w:rPr>
      <w:t xml:space="preserve"> </w:t>
    </w:r>
  </w:p>
  <w:p w14:paraId="53B123FD" w14:textId="77777777" w:rsidR="00565FFE" w:rsidRDefault="00565FFE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64AA72" w14:textId="77777777" w:rsidR="00885ECD" w:rsidRDefault="00885ECD" w:rsidP="00317EAD">
      <w:pPr>
        <w:spacing w:after="0" w:line="240" w:lineRule="auto"/>
      </w:pPr>
      <w:r>
        <w:separator/>
      </w:r>
    </w:p>
  </w:footnote>
  <w:footnote w:type="continuationSeparator" w:id="0">
    <w:p w14:paraId="76DC6937" w14:textId="77777777" w:rsidR="00885ECD" w:rsidRDefault="00885ECD" w:rsidP="00317EAD">
      <w:pPr>
        <w:spacing w:after="0" w:line="240" w:lineRule="auto"/>
      </w:pPr>
      <w:r>
        <w:continuationSeparator/>
      </w:r>
    </w:p>
  </w:footnote>
  <w:footnote w:type="continuationNotice" w:id="1">
    <w:p w14:paraId="27E80698" w14:textId="77777777" w:rsidR="00885ECD" w:rsidRDefault="00885EC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384" w:type="dxa"/>
      <w:tblInd w:w="-147" w:type="dxa"/>
      <w:tblLayout w:type="fixed"/>
      <w:tblLook w:val="0000" w:firstRow="0" w:lastRow="0" w:firstColumn="0" w:lastColumn="0" w:noHBand="0" w:noVBand="0"/>
    </w:tblPr>
    <w:tblGrid>
      <w:gridCol w:w="7258"/>
      <w:gridCol w:w="2126"/>
    </w:tblGrid>
    <w:tr w:rsidR="00264DD9" w:rsidRPr="005B4EA7" w14:paraId="1D4117D1" w14:textId="77777777">
      <w:trPr>
        <w:cantSplit/>
        <w:trHeight w:val="425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4ED0D602" w14:textId="77777777" w:rsidR="00264DD9" w:rsidRPr="005B4EA7" w:rsidRDefault="00264DD9" w:rsidP="00264DD9">
          <w:pPr>
            <w:spacing w:before="40" w:after="60"/>
            <w:jc w:val="left"/>
            <w:rPr>
              <w:rFonts w:ascii="Arial Narrow" w:hAnsi="Arial Narrow"/>
            </w:rPr>
          </w:pPr>
          <w:r w:rsidRPr="00521CC0">
            <w:rPr>
              <w:rFonts w:ascii="Arial Narrow" w:hAnsi="Arial Narrow"/>
              <w:b/>
              <w:color w:val="70AD47" w:themeColor="accent6"/>
              <w:sz w:val="24"/>
              <w:szCs w:val="24"/>
            </w:rPr>
            <w:t>Modernizace teplárny Mladá Boleslav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CAEE983" w14:textId="77777777" w:rsidR="00264DD9" w:rsidRPr="00751667" w:rsidRDefault="00264DD9" w:rsidP="00264DD9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Strana  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PAGE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26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  <w:r w:rsidRPr="00751667">
            <w:rPr>
              <w:rFonts w:ascii="Arial Narrow" w:hAnsi="Arial Narrow"/>
              <w:sz w:val="20"/>
              <w:szCs w:val="20"/>
            </w:rPr>
            <w:t>/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begin"/>
          </w:r>
          <w:r w:rsidRPr="00751667">
            <w:rPr>
              <w:rFonts w:ascii="Arial Narrow" w:hAnsi="Arial Narrow"/>
              <w:sz w:val="20"/>
              <w:szCs w:val="20"/>
            </w:rPr>
            <w:instrText>NUMPAGES</w:instrText>
          </w:r>
          <w:r w:rsidRPr="00751667">
            <w:rPr>
              <w:rFonts w:ascii="Arial Narrow" w:hAnsi="Arial Narrow"/>
              <w:sz w:val="20"/>
              <w:szCs w:val="20"/>
            </w:rPr>
            <w:fldChar w:fldCharType="separate"/>
          </w:r>
          <w:r w:rsidRPr="00751667">
            <w:rPr>
              <w:rFonts w:ascii="Arial Narrow" w:hAnsi="Arial Narrow"/>
              <w:noProof/>
              <w:sz w:val="20"/>
              <w:szCs w:val="20"/>
            </w:rPr>
            <w:t>27</w:t>
          </w:r>
          <w:r w:rsidRPr="00751667">
            <w:rPr>
              <w:rFonts w:ascii="Arial Narrow" w:hAnsi="Arial Narrow"/>
              <w:sz w:val="20"/>
              <w:szCs w:val="20"/>
            </w:rPr>
            <w:fldChar w:fldCharType="end"/>
          </w:r>
        </w:p>
      </w:tc>
    </w:tr>
    <w:tr w:rsidR="00264DD9" w:rsidRPr="005B4EA7" w14:paraId="510B4B11" w14:textId="77777777">
      <w:trPr>
        <w:cantSplit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653B5C81" w14:textId="77777777" w:rsidR="00264DD9" w:rsidRDefault="00264DD9" w:rsidP="00264DD9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iCs/>
            </w:rPr>
          </w:pPr>
          <w:r w:rsidRPr="005B4EA7">
            <w:rPr>
              <w:rFonts w:ascii="Arial Narrow" w:hAnsi="Arial Narrow"/>
              <w:iCs/>
            </w:rPr>
            <w:t>ZADÁVACÍ DOKUMENTACE PRO VÝBĚR ZHOTOVITELE</w:t>
          </w:r>
        </w:p>
        <w:p w14:paraId="3158A7D1" w14:textId="77777777" w:rsidR="00264DD9" w:rsidRPr="00E3591F" w:rsidRDefault="00264DD9" w:rsidP="00264DD9">
          <w:pPr>
            <w:tabs>
              <w:tab w:val="left" w:pos="4103"/>
            </w:tabs>
            <w:spacing w:before="40" w:after="60"/>
            <w:jc w:val="left"/>
            <w:rPr>
              <w:rFonts w:ascii="Arial Narrow" w:hAnsi="Arial Narrow"/>
              <w:b/>
              <w:bCs/>
              <w:iCs/>
              <w:sz w:val="28"/>
              <w:szCs w:val="28"/>
            </w:rPr>
          </w:pPr>
          <w:r w:rsidRPr="00AD47A5">
            <w:rPr>
              <w:rFonts w:ascii="Arial Narrow" w:hAnsi="Arial Narrow"/>
              <w:iCs/>
            </w:rPr>
            <w:t>Technické požadavky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12AC66F" w14:textId="34A22C82" w:rsidR="00264DD9" w:rsidRPr="00751667" w:rsidRDefault="00264DD9" w:rsidP="00264DD9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Datum: </w:t>
          </w:r>
          <w:r w:rsidR="00DE056C">
            <w:rPr>
              <w:rFonts w:ascii="Arial Narrow" w:hAnsi="Arial Narrow"/>
              <w:sz w:val="20"/>
              <w:szCs w:val="20"/>
            </w:rPr>
            <w:t>0</w:t>
          </w:r>
          <w:r w:rsidR="00552C8C">
            <w:rPr>
              <w:rFonts w:ascii="Arial Narrow" w:hAnsi="Arial Narrow"/>
              <w:sz w:val="20"/>
              <w:szCs w:val="20"/>
            </w:rPr>
            <w:t>8</w:t>
          </w:r>
          <w:r w:rsidR="00DE056C">
            <w:rPr>
              <w:rFonts w:ascii="Arial Narrow" w:hAnsi="Arial Narrow"/>
              <w:sz w:val="20"/>
              <w:szCs w:val="20"/>
            </w:rPr>
            <w:t>/2023</w:t>
          </w:r>
        </w:p>
      </w:tc>
    </w:tr>
    <w:tr w:rsidR="00264DD9" w:rsidRPr="005B4EA7" w14:paraId="763F1A45" w14:textId="77777777">
      <w:trPr>
        <w:cantSplit/>
        <w:trHeight w:val="309"/>
      </w:trPr>
      <w:tc>
        <w:tcPr>
          <w:tcW w:w="725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vAlign w:val="bottom"/>
        </w:tcPr>
        <w:p w14:paraId="394BB49A" w14:textId="497BB9D9" w:rsidR="00264DD9" w:rsidRPr="00751667" w:rsidRDefault="00264DD9" w:rsidP="00264DD9">
          <w:pPr>
            <w:jc w:val="left"/>
            <w:rPr>
              <w:rFonts w:ascii="Arial Narrow" w:hAnsi="Arial Narrow"/>
              <w:b/>
              <w:iCs/>
              <w:sz w:val="24"/>
              <w:szCs w:val="24"/>
            </w:rPr>
          </w:pPr>
          <w:r w:rsidRPr="00E3591F">
            <w:rPr>
              <w:rFonts w:ascii="Arial Narrow" w:hAnsi="Arial Narrow"/>
              <w:b/>
              <w:bCs/>
              <w:iCs/>
              <w:sz w:val="28"/>
              <w:szCs w:val="28"/>
            </w:rPr>
            <w:t>OB 2 KOTELNY</w:t>
          </w:r>
        </w:p>
      </w:tc>
      <w:tc>
        <w:tcPr>
          <w:tcW w:w="212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</w:tcPr>
        <w:p w14:paraId="285C413A" w14:textId="06040A5E" w:rsidR="00264DD9" w:rsidRPr="00751667" w:rsidRDefault="00264DD9" w:rsidP="00264DD9">
          <w:pPr>
            <w:spacing w:before="40" w:after="60"/>
            <w:jc w:val="right"/>
            <w:rPr>
              <w:rFonts w:ascii="Arial Narrow" w:hAnsi="Arial Narrow"/>
              <w:sz w:val="20"/>
              <w:szCs w:val="20"/>
            </w:rPr>
          </w:pPr>
          <w:r w:rsidRPr="00751667">
            <w:rPr>
              <w:rFonts w:ascii="Arial Narrow" w:hAnsi="Arial Narrow"/>
              <w:sz w:val="20"/>
              <w:szCs w:val="20"/>
            </w:rPr>
            <w:t xml:space="preserve">Revize </w:t>
          </w:r>
          <w:r w:rsidR="00BB3C2B">
            <w:rPr>
              <w:rFonts w:ascii="Arial Narrow" w:hAnsi="Arial Narrow"/>
              <w:sz w:val="20"/>
              <w:szCs w:val="20"/>
            </w:rPr>
            <w:t>0</w:t>
          </w:r>
        </w:p>
      </w:tc>
    </w:tr>
  </w:tbl>
  <w:p w14:paraId="3AB7324B" w14:textId="77777777" w:rsidR="00565FFE" w:rsidRPr="00264DD9" w:rsidRDefault="00565FFE" w:rsidP="00264DD9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FE12BC"/>
    <w:multiLevelType w:val="singleLevel"/>
    <w:tmpl w:val="48B4B8B4"/>
    <w:lvl w:ilvl="0">
      <w:start w:val="1"/>
      <w:numFmt w:val="bullet"/>
      <w:pStyle w:val="Odrka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67D16C1"/>
    <w:multiLevelType w:val="hybridMultilevel"/>
    <w:tmpl w:val="5214323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CC53AF"/>
    <w:multiLevelType w:val="hybridMultilevel"/>
    <w:tmpl w:val="6688C4B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815B6D"/>
    <w:multiLevelType w:val="hybridMultilevel"/>
    <w:tmpl w:val="AD8450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D5754C"/>
    <w:multiLevelType w:val="hybridMultilevel"/>
    <w:tmpl w:val="8BF0FA5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967909"/>
    <w:multiLevelType w:val="hybridMultilevel"/>
    <w:tmpl w:val="4F68A28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1D9735E"/>
    <w:multiLevelType w:val="hybridMultilevel"/>
    <w:tmpl w:val="70CEE8D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C3A0D12"/>
    <w:multiLevelType w:val="hybridMultilevel"/>
    <w:tmpl w:val="184469A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E2225FE"/>
    <w:multiLevelType w:val="multilevel"/>
    <w:tmpl w:val="26BA1E78"/>
    <w:lvl w:ilvl="0">
      <w:start w:val="1"/>
      <w:numFmt w:val="decimal"/>
      <w:pStyle w:val="Nadpis1"/>
      <w:suff w:val="space"/>
      <w:lvlText w:val="%1  "/>
      <w:lvlJc w:val="left"/>
      <w:pPr>
        <w:ind w:left="284" w:firstLine="0"/>
      </w:pPr>
      <w:rPr>
        <w:rFonts w:hint="default"/>
      </w:rPr>
    </w:lvl>
    <w:lvl w:ilvl="1">
      <w:start w:val="1"/>
      <w:numFmt w:val="decimal"/>
      <w:pStyle w:val="TCBNadpis2"/>
      <w:suff w:val="space"/>
      <w:lvlText w:val="%1.%2  "/>
      <w:lvlJc w:val="left"/>
      <w:pPr>
        <w:ind w:left="284" w:firstLine="0"/>
      </w:pPr>
      <w:rPr>
        <w:rFonts w:hint="default"/>
      </w:rPr>
    </w:lvl>
    <w:lvl w:ilvl="2">
      <w:start w:val="1"/>
      <w:numFmt w:val="decimal"/>
      <w:pStyle w:val="TCBNadpis3"/>
      <w:suff w:val="space"/>
      <w:lvlText w:val="%1.%2.%3  "/>
      <w:lvlJc w:val="left"/>
      <w:pPr>
        <w:ind w:left="284" w:firstLine="0"/>
      </w:pPr>
      <w:rPr>
        <w:rFonts w:hint="default"/>
      </w:rPr>
    </w:lvl>
    <w:lvl w:ilvl="3">
      <w:start w:val="1"/>
      <w:numFmt w:val="decimal"/>
      <w:pStyle w:val="TCBNadpis4"/>
      <w:suff w:val="space"/>
      <w:lvlText w:val="%1.%2.%3.%4  "/>
      <w:lvlJc w:val="left"/>
      <w:pPr>
        <w:ind w:left="284" w:firstLine="0"/>
      </w:pPr>
      <w:rPr>
        <w:rFonts w:hint="default"/>
      </w:rPr>
    </w:lvl>
    <w:lvl w:ilvl="4">
      <w:start w:val="1"/>
      <w:numFmt w:val="decimal"/>
      <w:suff w:val="space"/>
      <w:lvlText w:val="%1.%2.%3.%4.%5  "/>
      <w:lvlJc w:val="left"/>
      <w:pPr>
        <w:ind w:left="284" w:firstLine="0"/>
      </w:pPr>
      <w:rPr>
        <w:rFonts w:hint="default"/>
      </w:rPr>
    </w:lvl>
    <w:lvl w:ilvl="5">
      <w:start w:val="1"/>
      <w:numFmt w:val="decimal"/>
      <w:suff w:val="space"/>
      <w:lvlText w:val="%1.%2.%3.%4.%5.%6  "/>
      <w:lvlJc w:val="left"/>
      <w:pPr>
        <w:ind w:left="284" w:firstLine="0"/>
      </w:pPr>
      <w:rPr>
        <w:rFonts w:hint="default"/>
      </w:rPr>
    </w:lvl>
    <w:lvl w:ilvl="6">
      <w:start w:val="1"/>
      <w:numFmt w:val="decimal"/>
      <w:suff w:val="space"/>
      <w:lvlText w:val="%1.%2.%3.%4.%5.%6.%7  "/>
      <w:lvlJc w:val="left"/>
      <w:pPr>
        <w:ind w:left="284" w:firstLine="0"/>
      </w:pPr>
      <w:rPr>
        <w:rFonts w:hint="default"/>
      </w:rPr>
    </w:lvl>
    <w:lvl w:ilvl="7">
      <w:start w:val="1"/>
      <w:numFmt w:val="decimal"/>
      <w:suff w:val="space"/>
      <w:lvlText w:val="%1.%2.%3.%4.%5.%6.%7.%8  "/>
      <w:lvlJc w:val="left"/>
      <w:pPr>
        <w:ind w:left="284" w:firstLine="0"/>
      </w:pPr>
      <w:rPr>
        <w:rFonts w:hint="default"/>
      </w:rPr>
    </w:lvl>
    <w:lvl w:ilvl="8">
      <w:start w:val="1"/>
      <w:numFmt w:val="decimal"/>
      <w:suff w:val="space"/>
      <w:lvlText w:val="%1.%2.%3.%4.%5.%6.%7.%8.%9  "/>
      <w:lvlJc w:val="left"/>
      <w:pPr>
        <w:ind w:left="284" w:firstLine="0"/>
      </w:pPr>
      <w:rPr>
        <w:rFonts w:hint="default"/>
      </w:rPr>
    </w:lvl>
  </w:abstractNum>
  <w:abstractNum w:abstractNumId="9" w15:restartNumberingAfterBreak="0">
    <w:nsid w:val="2AFC4312"/>
    <w:multiLevelType w:val="hybridMultilevel"/>
    <w:tmpl w:val="8C10C0C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4334B5D"/>
    <w:multiLevelType w:val="hybridMultilevel"/>
    <w:tmpl w:val="F74836C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97C0C7C"/>
    <w:multiLevelType w:val="hybridMultilevel"/>
    <w:tmpl w:val="3AE84DE8"/>
    <w:lvl w:ilvl="0" w:tplc="4A10CCD4">
      <w:start w:val="1"/>
      <w:numFmt w:val="bullet"/>
      <w:pStyle w:val="Odrky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16"/>
        <w:szCs w:val="16"/>
      </w:rPr>
    </w:lvl>
    <w:lvl w:ilvl="1" w:tplc="307ED99A">
      <w:start w:val="1"/>
      <w:numFmt w:val="bullet"/>
      <w:pStyle w:val="Odrkyodsaz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39BE5E1C"/>
    <w:multiLevelType w:val="hybridMultilevel"/>
    <w:tmpl w:val="52D63D2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F334FC3"/>
    <w:multiLevelType w:val="multilevel"/>
    <w:tmpl w:val="FF76F68C"/>
    <w:lvl w:ilvl="0">
      <w:start w:val="1"/>
      <w:numFmt w:val="decimal"/>
      <w:lvlText w:val="%1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>
      <w:start w:val="1"/>
      <w:numFmt w:val="decimal"/>
      <w:pStyle w:val="Nadpis2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pStyle w:val="Nadpis3"/>
      <w:lvlText w:val="%1.%2.%3"/>
      <w:lvlJc w:val="left"/>
      <w:pPr>
        <w:tabs>
          <w:tab w:val="num" w:pos="0"/>
        </w:tabs>
        <w:ind w:left="624" w:hanging="624"/>
      </w:pPr>
      <w:rPr>
        <w:rFonts w:hint="default"/>
      </w:rPr>
    </w:lvl>
    <w:lvl w:ilvl="3">
      <w:start w:val="1"/>
      <w:numFmt w:val="decimal"/>
      <w:pStyle w:val="Nadpis4"/>
      <w:lvlText w:val="%1.%2.%3.%4"/>
      <w:lvlJc w:val="left"/>
      <w:pPr>
        <w:tabs>
          <w:tab w:val="num" w:pos="0"/>
        </w:tabs>
        <w:ind w:left="794" w:hanging="794"/>
      </w:pPr>
      <w:rPr>
        <w:rFonts w:hint="default"/>
      </w:rPr>
    </w:lvl>
    <w:lvl w:ilvl="4">
      <w:start w:val="1"/>
      <w:numFmt w:val="decimal"/>
      <w:pStyle w:val="Nadpis5"/>
      <w:lvlText w:val="%1.%2.%3.%5.1"/>
      <w:lvlJc w:val="left"/>
      <w:pPr>
        <w:tabs>
          <w:tab w:val="num" w:pos="2952"/>
        </w:tabs>
        <w:ind w:left="2580" w:hanging="708"/>
      </w:pPr>
      <w:rPr>
        <w:rFonts w:hint="default"/>
      </w:rPr>
    </w:lvl>
    <w:lvl w:ilvl="5">
      <w:start w:val="1"/>
      <w:numFmt w:val="decimal"/>
      <w:pStyle w:val="Nadpis6"/>
      <w:lvlText w:val="%1.%2.%3.%5.%6.1"/>
      <w:lvlJc w:val="left"/>
      <w:pPr>
        <w:tabs>
          <w:tab w:val="num" w:pos="4020"/>
        </w:tabs>
        <w:ind w:left="3288" w:hanging="708"/>
      </w:pPr>
      <w:rPr>
        <w:rFonts w:hint="default"/>
      </w:rPr>
    </w:lvl>
    <w:lvl w:ilvl="6">
      <w:start w:val="1"/>
      <w:numFmt w:val="decimal"/>
      <w:pStyle w:val="Nadpis7"/>
      <w:lvlText w:val="%1.%2.%3.%5.%6.%7.1"/>
      <w:lvlJc w:val="left"/>
      <w:pPr>
        <w:tabs>
          <w:tab w:val="num" w:pos="4728"/>
        </w:tabs>
        <w:ind w:left="3996" w:hanging="708"/>
      </w:pPr>
      <w:rPr>
        <w:rFonts w:hint="default"/>
      </w:rPr>
    </w:lvl>
    <w:lvl w:ilvl="7">
      <w:start w:val="1"/>
      <w:numFmt w:val="decimal"/>
      <w:pStyle w:val="Nadpis8"/>
      <w:lvlText w:val="%1.%2.%3.%5.%6.%7.%8.1"/>
      <w:lvlJc w:val="left"/>
      <w:pPr>
        <w:tabs>
          <w:tab w:val="num" w:pos="5796"/>
        </w:tabs>
        <w:ind w:left="4704" w:hanging="708"/>
      </w:pPr>
      <w:rPr>
        <w:rFonts w:hint="default"/>
      </w:rPr>
    </w:lvl>
    <w:lvl w:ilvl="8">
      <w:start w:val="1"/>
      <w:numFmt w:val="decimal"/>
      <w:pStyle w:val="Nadpis9"/>
      <w:lvlText w:val="%1.%2.%3.%5.%6.%7.%8.%9.1"/>
      <w:lvlJc w:val="left"/>
      <w:pPr>
        <w:tabs>
          <w:tab w:val="num" w:pos="6504"/>
        </w:tabs>
        <w:ind w:left="5412" w:hanging="708"/>
      </w:pPr>
      <w:rPr>
        <w:rFonts w:hint="default"/>
      </w:rPr>
    </w:lvl>
  </w:abstractNum>
  <w:abstractNum w:abstractNumId="14" w15:restartNumberingAfterBreak="0">
    <w:nsid w:val="45E51725"/>
    <w:multiLevelType w:val="hybridMultilevel"/>
    <w:tmpl w:val="46D6037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320702"/>
    <w:multiLevelType w:val="hybridMultilevel"/>
    <w:tmpl w:val="2ECCD54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0D670AA"/>
    <w:multiLevelType w:val="hybridMultilevel"/>
    <w:tmpl w:val="04FC91C4"/>
    <w:lvl w:ilvl="0" w:tplc="040E0001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580E50FC"/>
    <w:multiLevelType w:val="hybridMultilevel"/>
    <w:tmpl w:val="B28E924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0586A97"/>
    <w:multiLevelType w:val="hybridMultilevel"/>
    <w:tmpl w:val="01F09D4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38C3448"/>
    <w:multiLevelType w:val="hybridMultilevel"/>
    <w:tmpl w:val="BB3A2D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A7556F5"/>
    <w:multiLevelType w:val="hybridMultilevel"/>
    <w:tmpl w:val="7FC62F1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F57D2D"/>
    <w:multiLevelType w:val="hybridMultilevel"/>
    <w:tmpl w:val="20803B4A"/>
    <w:lvl w:ilvl="0" w:tplc="B336A5A4"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63685562">
    <w:abstractNumId w:val="13"/>
  </w:num>
  <w:num w:numId="2" w16cid:durableId="433789540">
    <w:abstractNumId w:val="8"/>
  </w:num>
  <w:num w:numId="3" w16cid:durableId="133720251">
    <w:abstractNumId w:val="0"/>
  </w:num>
  <w:num w:numId="4" w16cid:durableId="1958949473">
    <w:abstractNumId w:val="4"/>
  </w:num>
  <w:num w:numId="5" w16cid:durableId="187840103">
    <w:abstractNumId w:val="17"/>
  </w:num>
  <w:num w:numId="6" w16cid:durableId="661127351">
    <w:abstractNumId w:val="20"/>
  </w:num>
  <w:num w:numId="7" w16cid:durableId="1493721446">
    <w:abstractNumId w:val="14"/>
  </w:num>
  <w:num w:numId="8" w16cid:durableId="1582368698">
    <w:abstractNumId w:val="12"/>
  </w:num>
  <w:num w:numId="9" w16cid:durableId="1549681224">
    <w:abstractNumId w:val="11"/>
  </w:num>
  <w:num w:numId="10" w16cid:durableId="752971430">
    <w:abstractNumId w:val="10"/>
  </w:num>
  <w:num w:numId="11" w16cid:durableId="1918975644">
    <w:abstractNumId w:val="5"/>
  </w:num>
  <w:num w:numId="12" w16cid:durableId="367996623">
    <w:abstractNumId w:val="19"/>
  </w:num>
  <w:num w:numId="13" w16cid:durableId="2023167525">
    <w:abstractNumId w:val="2"/>
  </w:num>
  <w:num w:numId="14" w16cid:durableId="1138495798">
    <w:abstractNumId w:val="6"/>
  </w:num>
  <w:num w:numId="15" w16cid:durableId="365757513">
    <w:abstractNumId w:val="7"/>
  </w:num>
  <w:num w:numId="16" w16cid:durableId="1882664476">
    <w:abstractNumId w:val="15"/>
  </w:num>
  <w:num w:numId="17" w16cid:durableId="1525170956">
    <w:abstractNumId w:val="3"/>
  </w:num>
  <w:num w:numId="18" w16cid:durableId="1861698792">
    <w:abstractNumId w:val="16"/>
  </w:num>
  <w:num w:numId="19" w16cid:durableId="836655456">
    <w:abstractNumId w:val="18"/>
  </w:num>
  <w:num w:numId="20" w16cid:durableId="430666478">
    <w:abstractNumId w:val="8"/>
  </w:num>
  <w:num w:numId="21" w16cid:durableId="1180853015">
    <w:abstractNumId w:val="9"/>
  </w:num>
  <w:num w:numId="22" w16cid:durableId="33620560">
    <w:abstractNumId w:val="1"/>
  </w:num>
  <w:num w:numId="23" w16cid:durableId="819232151">
    <w:abstractNumId w:val="21"/>
  </w:num>
  <w:num w:numId="24" w16cid:durableId="2096512224">
    <w:abstractNumId w:val="8"/>
  </w:num>
  <w:numIdMacAtCleanup w:val="19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17EAD"/>
    <w:rsid w:val="000002C8"/>
    <w:rsid w:val="000030DF"/>
    <w:rsid w:val="00007F3E"/>
    <w:rsid w:val="000106C9"/>
    <w:rsid w:val="00015CAA"/>
    <w:rsid w:val="00026A25"/>
    <w:rsid w:val="00031298"/>
    <w:rsid w:val="00031CDA"/>
    <w:rsid w:val="00034C15"/>
    <w:rsid w:val="00043C5C"/>
    <w:rsid w:val="00044136"/>
    <w:rsid w:val="000479E5"/>
    <w:rsid w:val="0005162A"/>
    <w:rsid w:val="00051E67"/>
    <w:rsid w:val="00057A6D"/>
    <w:rsid w:val="000670D1"/>
    <w:rsid w:val="00074CE6"/>
    <w:rsid w:val="00074F63"/>
    <w:rsid w:val="00077337"/>
    <w:rsid w:val="00081B15"/>
    <w:rsid w:val="0008482A"/>
    <w:rsid w:val="00085131"/>
    <w:rsid w:val="0008736B"/>
    <w:rsid w:val="000874C0"/>
    <w:rsid w:val="000A6A87"/>
    <w:rsid w:val="000B3090"/>
    <w:rsid w:val="000B48C8"/>
    <w:rsid w:val="000B48F3"/>
    <w:rsid w:val="000B4B93"/>
    <w:rsid w:val="000B6343"/>
    <w:rsid w:val="000B7B0A"/>
    <w:rsid w:val="000C3537"/>
    <w:rsid w:val="000D7B6B"/>
    <w:rsid w:val="000E5ADE"/>
    <w:rsid w:val="000F0D6F"/>
    <w:rsid w:val="000F5743"/>
    <w:rsid w:val="000F5F65"/>
    <w:rsid w:val="0010467D"/>
    <w:rsid w:val="0010557D"/>
    <w:rsid w:val="00114333"/>
    <w:rsid w:val="00117E66"/>
    <w:rsid w:val="0012261C"/>
    <w:rsid w:val="00123BCD"/>
    <w:rsid w:val="00125744"/>
    <w:rsid w:val="001329C0"/>
    <w:rsid w:val="00133540"/>
    <w:rsid w:val="00140C15"/>
    <w:rsid w:val="00141E64"/>
    <w:rsid w:val="001439DB"/>
    <w:rsid w:val="0014541D"/>
    <w:rsid w:val="00150CFA"/>
    <w:rsid w:val="00156795"/>
    <w:rsid w:val="00157D91"/>
    <w:rsid w:val="0016174F"/>
    <w:rsid w:val="00161922"/>
    <w:rsid w:val="0017198B"/>
    <w:rsid w:val="00175FB3"/>
    <w:rsid w:val="00183A62"/>
    <w:rsid w:val="00184C78"/>
    <w:rsid w:val="0019212B"/>
    <w:rsid w:val="00195DEA"/>
    <w:rsid w:val="001974EC"/>
    <w:rsid w:val="001A0EDE"/>
    <w:rsid w:val="001A30E5"/>
    <w:rsid w:val="001A34BB"/>
    <w:rsid w:val="001B111F"/>
    <w:rsid w:val="001B5AF4"/>
    <w:rsid w:val="001B6D49"/>
    <w:rsid w:val="001B7434"/>
    <w:rsid w:val="001C059B"/>
    <w:rsid w:val="001C13E4"/>
    <w:rsid w:val="001C39C1"/>
    <w:rsid w:val="001C4BA9"/>
    <w:rsid w:val="001C602B"/>
    <w:rsid w:val="001D16BE"/>
    <w:rsid w:val="001D7C69"/>
    <w:rsid w:val="001E04D8"/>
    <w:rsid w:val="001E31A9"/>
    <w:rsid w:val="001E392B"/>
    <w:rsid w:val="001E3C25"/>
    <w:rsid w:val="001E50B7"/>
    <w:rsid w:val="001E6A57"/>
    <w:rsid w:val="00203664"/>
    <w:rsid w:val="00204519"/>
    <w:rsid w:val="00211D84"/>
    <w:rsid w:val="00215321"/>
    <w:rsid w:val="00217877"/>
    <w:rsid w:val="00227891"/>
    <w:rsid w:val="00232B49"/>
    <w:rsid w:val="00235084"/>
    <w:rsid w:val="002360B7"/>
    <w:rsid w:val="00240C1A"/>
    <w:rsid w:val="00247748"/>
    <w:rsid w:val="00253C62"/>
    <w:rsid w:val="00255797"/>
    <w:rsid w:val="00256FC4"/>
    <w:rsid w:val="00261E92"/>
    <w:rsid w:val="00262005"/>
    <w:rsid w:val="00262902"/>
    <w:rsid w:val="00264DD9"/>
    <w:rsid w:val="00267462"/>
    <w:rsid w:val="00270C63"/>
    <w:rsid w:val="002714BC"/>
    <w:rsid w:val="00271AFB"/>
    <w:rsid w:val="00276010"/>
    <w:rsid w:val="00276FBF"/>
    <w:rsid w:val="00283A48"/>
    <w:rsid w:val="0028710D"/>
    <w:rsid w:val="002873BF"/>
    <w:rsid w:val="00293077"/>
    <w:rsid w:val="00293C28"/>
    <w:rsid w:val="00295244"/>
    <w:rsid w:val="00297517"/>
    <w:rsid w:val="002A5478"/>
    <w:rsid w:val="002A6FED"/>
    <w:rsid w:val="002A74C4"/>
    <w:rsid w:val="002B0C83"/>
    <w:rsid w:val="002B2D07"/>
    <w:rsid w:val="002B4AC1"/>
    <w:rsid w:val="002C058D"/>
    <w:rsid w:val="002C0945"/>
    <w:rsid w:val="002C194A"/>
    <w:rsid w:val="002C1BF8"/>
    <w:rsid w:val="002C2103"/>
    <w:rsid w:val="002C2C0D"/>
    <w:rsid w:val="002C4709"/>
    <w:rsid w:val="002D16C6"/>
    <w:rsid w:val="002D247B"/>
    <w:rsid w:val="002E3103"/>
    <w:rsid w:val="002E34D5"/>
    <w:rsid w:val="002E385C"/>
    <w:rsid w:val="002E43B2"/>
    <w:rsid w:val="002E4D90"/>
    <w:rsid w:val="002E6B45"/>
    <w:rsid w:val="002E7C04"/>
    <w:rsid w:val="002F2328"/>
    <w:rsid w:val="002F2D9E"/>
    <w:rsid w:val="0030519D"/>
    <w:rsid w:val="00312F26"/>
    <w:rsid w:val="00313A7C"/>
    <w:rsid w:val="0031697D"/>
    <w:rsid w:val="00317EAD"/>
    <w:rsid w:val="00320EA4"/>
    <w:rsid w:val="003249FC"/>
    <w:rsid w:val="0033042E"/>
    <w:rsid w:val="00333205"/>
    <w:rsid w:val="00340B03"/>
    <w:rsid w:val="00343BEB"/>
    <w:rsid w:val="003443FD"/>
    <w:rsid w:val="00347CD9"/>
    <w:rsid w:val="0035257A"/>
    <w:rsid w:val="00352E9B"/>
    <w:rsid w:val="003543BB"/>
    <w:rsid w:val="00354C79"/>
    <w:rsid w:val="00357FB1"/>
    <w:rsid w:val="00363724"/>
    <w:rsid w:val="00363B75"/>
    <w:rsid w:val="00367782"/>
    <w:rsid w:val="0037202C"/>
    <w:rsid w:val="00375109"/>
    <w:rsid w:val="00380EC0"/>
    <w:rsid w:val="003830CD"/>
    <w:rsid w:val="00384BEE"/>
    <w:rsid w:val="00391202"/>
    <w:rsid w:val="00394133"/>
    <w:rsid w:val="00395F54"/>
    <w:rsid w:val="003A0BC2"/>
    <w:rsid w:val="003A2033"/>
    <w:rsid w:val="003A2157"/>
    <w:rsid w:val="003B02D7"/>
    <w:rsid w:val="003B20D8"/>
    <w:rsid w:val="003B4FCE"/>
    <w:rsid w:val="003B6758"/>
    <w:rsid w:val="003B7CD3"/>
    <w:rsid w:val="003C14EF"/>
    <w:rsid w:val="003C3B5F"/>
    <w:rsid w:val="003D758B"/>
    <w:rsid w:val="003E28C2"/>
    <w:rsid w:val="003E64EE"/>
    <w:rsid w:val="003F240C"/>
    <w:rsid w:val="00403C98"/>
    <w:rsid w:val="00403CCB"/>
    <w:rsid w:val="004045B1"/>
    <w:rsid w:val="0040463E"/>
    <w:rsid w:val="00405837"/>
    <w:rsid w:val="00411CCB"/>
    <w:rsid w:val="00413983"/>
    <w:rsid w:val="00415D18"/>
    <w:rsid w:val="00420477"/>
    <w:rsid w:val="004208F7"/>
    <w:rsid w:val="004276B8"/>
    <w:rsid w:val="00433E50"/>
    <w:rsid w:val="00440736"/>
    <w:rsid w:val="00445904"/>
    <w:rsid w:val="00446FFC"/>
    <w:rsid w:val="00451749"/>
    <w:rsid w:val="00451D8E"/>
    <w:rsid w:val="0045317D"/>
    <w:rsid w:val="00454C5C"/>
    <w:rsid w:val="00460B79"/>
    <w:rsid w:val="00461124"/>
    <w:rsid w:val="0046525C"/>
    <w:rsid w:val="00467E60"/>
    <w:rsid w:val="00470BB6"/>
    <w:rsid w:val="00473D4C"/>
    <w:rsid w:val="004772B2"/>
    <w:rsid w:val="00481A65"/>
    <w:rsid w:val="00481FB9"/>
    <w:rsid w:val="00482CEB"/>
    <w:rsid w:val="00483B39"/>
    <w:rsid w:val="00490084"/>
    <w:rsid w:val="004903F2"/>
    <w:rsid w:val="00491452"/>
    <w:rsid w:val="00491F1B"/>
    <w:rsid w:val="004961FF"/>
    <w:rsid w:val="004970F7"/>
    <w:rsid w:val="004A0080"/>
    <w:rsid w:val="004A0CCC"/>
    <w:rsid w:val="004A11E7"/>
    <w:rsid w:val="004A6C55"/>
    <w:rsid w:val="004A7F6D"/>
    <w:rsid w:val="004B1B9D"/>
    <w:rsid w:val="004B6D2A"/>
    <w:rsid w:val="004B72B5"/>
    <w:rsid w:val="004B75F5"/>
    <w:rsid w:val="004C0EBC"/>
    <w:rsid w:val="004C0F3B"/>
    <w:rsid w:val="004C514E"/>
    <w:rsid w:val="004C7077"/>
    <w:rsid w:val="004C798B"/>
    <w:rsid w:val="004D05FA"/>
    <w:rsid w:val="004E15C1"/>
    <w:rsid w:val="004F0DC8"/>
    <w:rsid w:val="004F1193"/>
    <w:rsid w:val="004F1F2A"/>
    <w:rsid w:val="004F20F1"/>
    <w:rsid w:val="004F22F3"/>
    <w:rsid w:val="004F3EA1"/>
    <w:rsid w:val="00501DFB"/>
    <w:rsid w:val="0051295F"/>
    <w:rsid w:val="0051562D"/>
    <w:rsid w:val="00516097"/>
    <w:rsid w:val="0052307E"/>
    <w:rsid w:val="005252C0"/>
    <w:rsid w:val="005264FD"/>
    <w:rsid w:val="00534BD3"/>
    <w:rsid w:val="005405DE"/>
    <w:rsid w:val="0054265F"/>
    <w:rsid w:val="00546828"/>
    <w:rsid w:val="00547BE1"/>
    <w:rsid w:val="00552165"/>
    <w:rsid w:val="00552C8C"/>
    <w:rsid w:val="0055392C"/>
    <w:rsid w:val="0056005C"/>
    <w:rsid w:val="00563BFC"/>
    <w:rsid w:val="00565FFE"/>
    <w:rsid w:val="005703B3"/>
    <w:rsid w:val="00571447"/>
    <w:rsid w:val="005728F9"/>
    <w:rsid w:val="005800A8"/>
    <w:rsid w:val="00582C37"/>
    <w:rsid w:val="00583692"/>
    <w:rsid w:val="00583A3F"/>
    <w:rsid w:val="0059270B"/>
    <w:rsid w:val="005A3376"/>
    <w:rsid w:val="005A66AB"/>
    <w:rsid w:val="005B250A"/>
    <w:rsid w:val="005B4EA7"/>
    <w:rsid w:val="005B5A38"/>
    <w:rsid w:val="005B7ABB"/>
    <w:rsid w:val="005C158B"/>
    <w:rsid w:val="005C4647"/>
    <w:rsid w:val="005C4ECB"/>
    <w:rsid w:val="005C5667"/>
    <w:rsid w:val="005C77D0"/>
    <w:rsid w:val="005D1930"/>
    <w:rsid w:val="005D48F3"/>
    <w:rsid w:val="005D5F8B"/>
    <w:rsid w:val="005E4565"/>
    <w:rsid w:val="005E7B6B"/>
    <w:rsid w:val="005F1AD4"/>
    <w:rsid w:val="005F5C35"/>
    <w:rsid w:val="005F79ED"/>
    <w:rsid w:val="0060001E"/>
    <w:rsid w:val="00604C5C"/>
    <w:rsid w:val="00612007"/>
    <w:rsid w:val="0061736F"/>
    <w:rsid w:val="00624E41"/>
    <w:rsid w:val="00634483"/>
    <w:rsid w:val="0063561A"/>
    <w:rsid w:val="006378A0"/>
    <w:rsid w:val="00642DD7"/>
    <w:rsid w:val="0064663B"/>
    <w:rsid w:val="00646CE8"/>
    <w:rsid w:val="00651B3A"/>
    <w:rsid w:val="00661313"/>
    <w:rsid w:val="0066385C"/>
    <w:rsid w:val="00675968"/>
    <w:rsid w:val="00682B20"/>
    <w:rsid w:val="006861F6"/>
    <w:rsid w:val="00692010"/>
    <w:rsid w:val="00694084"/>
    <w:rsid w:val="006977B7"/>
    <w:rsid w:val="006A0727"/>
    <w:rsid w:val="006A0FEA"/>
    <w:rsid w:val="006A1440"/>
    <w:rsid w:val="006A3132"/>
    <w:rsid w:val="006A3A3E"/>
    <w:rsid w:val="006A61BF"/>
    <w:rsid w:val="006B43EA"/>
    <w:rsid w:val="006B44DB"/>
    <w:rsid w:val="006B615C"/>
    <w:rsid w:val="006C10FA"/>
    <w:rsid w:val="006C3509"/>
    <w:rsid w:val="006D0657"/>
    <w:rsid w:val="006D200B"/>
    <w:rsid w:val="006D3B6F"/>
    <w:rsid w:val="006D43A6"/>
    <w:rsid w:val="006D46C2"/>
    <w:rsid w:val="006D790B"/>
    <w:rsid w:val="006E2F65"/>
    <w:rsid w:val="006E7823"/>
    <w:rsid w:val="006F3687"/>
    <w:rsid w:val="006F36EE"/>
    <w:rsid w:val="006F3DEA"/>
    <w:rsid w:val="006F4514"/>
    <w:rsid w:val="006F5D61"/>
    <w:rsid w:val="006F70DB"/>
    <w:rsid w:val="0070581F"/>
    <w:rsid w:val="00705ADA"/>
    <w:rsid w:val="00712710"/>
    <w:rsid w:val="007145B6"/>
    <w:rsid w:val="00733F1C"/>
    <w:rsid w:val="00734807"/>
    <w:rsid w:val="00740B78"/>
    <w:rsid w:val="00741198"/>
    <w:rsid w:val="00746A25"/>
    <w:rsid w:val="00751667"/>
    <w:rsid w:val="00752B37"/>
    <w:rsid w:val="007534BE"/>
    <w:rsid w:val="0075416D"/>
    <w:rsid w:val="00754C13"/>
    <w:rsid w:val="00755482"/>
    <w:rsid w:val="007606F5"/>
    <w:rsid w:val="0076306C"/>
    <w:rsid w:val="007660F1"/>
    <w:rsid w:val="00777405"/>
    <w:rsid w:val="0078021F"/>
    <w:rsid w:val="00781856"/>
    <w:rsid w:val="00781A00"/>
    <w:rsid w:val="00782486"/>
    <w:rsid w:val="007827EB"/>
    <w:rsid w:val="00782D8A"/>
    <w:rsid w:val="00783E97"/>
    <w:rsid w:val="00785548"/>
    <w:rsid w:val="007A0C23"/>
    <w:rsid w:val="007A255B"/>
    <w:rsid w:val="007A72D8"/>
    <w:rsid w:val="007A776E"/>
    <w:rsid w:val="007B1FBC"/>
    <w:rsid w:val="007B2B3C"/>
    <w:rsid w:val="007B4C65"/>
    <w:rsid w:val="007C0CF3"/>
    <w:rsid w:val="007C2F87"/>
    <w:rsid w:val="007C3570"/>
    <w:rsid w:val="007D72D1"/>
    <w:rsid w:val="007F5B39"/>
    <w:rsid w:val="007F60B4"/>
    <w:rsid w:val="00800BCA"/>
    <w:rsid w:val="008065B9"/>
    <w:rsid w:val="00806941"/>
    <w:rsid w:val="00811B94"/>
    <w:rsid w:val="00813F24"/>
    <w:rsid w:val="008150F9"/>
    <w:rsid w:val="0081561B"/>
    <w:rsid w:val="00820284"/>
    <w:rsid w:val="00820408"/>
    <w:rsid w:val="008248CE"/>
    <w:rsid w:val="0082702E"/>
    <w:rsid w:val="00836FE8"/>
    <w:rsid w:val="00842079"/>
    <w:rsid w:val="008443ED"/>
    <w:rsid w:val="008518CC"/>
    <w:rsid w:val="00854E1C"/>
    <w:rsid w:val="00855B74"/>
    <w:rsid w:val="008572AA"/>
    <w:rsid w:val="00862361"/>
    <w:rsid w:val="00863250"/>
    <w:rsid w:val="00875C7D"/>
    <w:rsid w:val="00883763"/>
    <w:rsid w:val="00885ECD"/>
    <w:rsid w:val="0088715E"/>
    <w:rsid w:val="008901E1"/>
    <w:rsid w:val="00895D63"/>
    <w:rsid w:val="008A4DC0"/>
    <w:rsid w:val="008A5988"/>
    <w:rsid w:val="008A75C1"/>
    <w:rsid w:val="008B2E82"/>
    <w:rsid w:val="008B3AFE"/>
    <w:rsid w:val="008B67DE"/>
    <w:rsid w:val="008B6A69"/>
    <w:rsid w:val="008B6C4D"/>
    <w:rsid w:val="008C0D2A"/>
    <w:rsid w:val="008C1809"/>
    <w:rsid w:val="008C1D2B"/>
    <w:rsid w:val="008C5AB1"/>
    <w:rsid w:val="008D4500"/>
    <w:rsid w:val="008D4537"/>
    <w:rsid w:val="008D5F76"/>
    <w:rsid w:val="008D7582"/>
    <w:rsid w:val="008E0454"/>
    <w:rsid w:val="008E5E9D"/>
    <w:rsid w:val="008E6965"/>
    <w:rsid w:val="008E6C7B"/>
    <w:rsid w:val="008F6E5C"/>
    <w:rsid w:val="0090293E"/>
    <w:rsid w:val="00903160"/>
    <w:rsid w:val="009040E5"/>
    <w:rsid w:val="0090538B"/>
    <w:rsid w:val="00906CEB"/>
    <w:rsid w:val="0091013F"/>
    <w:rsid w:val="00916165"/>
    <w:rsid w:val="00927B2B"/>
    <w:rsid w:val="00927F52"/>
    <w:rsid w:val="00933B78"/>
    <w:rsid w:val="00936356"/>
    <w:rsid w:val="00937043"/>
    <w:rsid w:val="00940974"/>
    <w:rsid w:val="00942C1C"/>
    <w:rsid w:val="0094489C"/>
    <w:rsid w:val="00952C03"/>
    <w:rsid w:val="009558DC"/>
    <w:rsid w:val="00955A5D"/>
    <w:rsid w:val="00956185"/>
    <w:rsid w:val="00956D6D"/>
    <w:rsid w:val="0095783A"/>
    <w:rsid w:val="009627DB"/>
    <w:rsid w:val="0096496A"/>
    <w:rsid w:val="0097144C"/>
    <w:rsid w:val="0097486E"/>
    <w:rsid w:val="00975AAA"/>
    <w:rsid w:val="0098066F"/>
    <w:rsid w:val="00980E7A"/>
    <w:rsid w:val="00981E6A"/>
    <w:rsid w:val="00983ED5"/>
    <w:rsid w:val="0099168E"/>
    <w:rsid w:val="009938D3"/>
    <w:rsid w:val="009A2051"/>
    <w:rsid w:val="009B5D5F"/>
    <w:rsid w:val="009B6AC9"/>
    <w:rsid w:val="009C341C"/>
    <w:rsid w:val="009C4151"/>
    <w:rsid w:val="009C7F90"/>
    <w:rsid w:val="009D1D94"/>
    <w:rsid w:val="009D5761"/>
    <w:rsid w:val="009D6760"/>
    <w:rsid w:val="009E0482"/>
    <w:rsid w:val="009E433C"/>
    <w:rsid w:val="009E4816"/>
    <w:rsid w:val="009E4E0E"/>
    <w:rsid w:val="009E6F1D"/>
    <w:rsid w:val="009E7270"/>
    <w:rsid w:val="009F415F"/>
    <w:rsid w:val="009F447F"/>
    <w:rsid w:val="009F7DC5"/>
    <w:rsid w:val="00A0110A"/>
    <w:rsid w:val="00A03E01"/>
    <w:rsid w:val="00A069F1"/>
    <w:rsid w:val="00A15678"/>
    <w:rsid w:val="00A173A7"/>
    <w:rsid w:val="00A24282"/>
    <w:rsid w:val="00A25819"/>
    <w:rsid w:val="00A27EDB"/>
    <w:rsid w:val="00A31F24"/>
    <w:rsid w:val="00A3532B"/>
    <w:rsid w:val="00A420FA"/>
    <w:rsid w:val="00A62070"/>
    <w:rsid w:val="00A65331"/>
    <w:rsid w:val="00A725C4"/>
    <w:rsid w:val="00A80591"/>
    <w:rsid w:val="00A8176D"/>
    <w:rsid w:val="00A83242"/>
    <w:rsid w:val="00A93102"/>
    <w:rsid w:val="00A93F41"/>
    <w:rsid w:val="00A977B1"/>
    <w:rsid w:val="00AA0C5E"/>
    <w:rsid w:val="00AA2642"/>
    <w:rsid w:val="00AA2E96"/>
    <w:rsid w:val="00AA5B63"/>
    <w:rsid w:val="00AB5924"/>
    <w:rsid w:val="00AB6C5F"/>
    <w:rsid w:val="00AC5D7F"/>
    <w:rsid w:val="00AD3FE5"/>
    <w:rsid w:val="00AD6170"/>
    <w:rsid w:val="00AD65EA"/>
    <w:rsid w:val="00AE7DE9"/>
    <w:rsid w:val="00AF2AAC"/>
    <w:rsid w:val="00AF6507"/>
    <w:rsid w:val="00AF6E67"/>
    <w:rsid w:val="00AF767F"/>
    <w:rsid w:val="00B00816"/>
    <w:rsid w:val="00B01A38"/>
    <w:rsid w:val="00B058D2"/>
    <w:rsid w:val="00B07CE2"/>
    <w:rsid w:val="00B120AD"/>
    <w:rsid w:val="00B1306B"/>
    <w:rsid w:val="00B130D6"/>
    <w:rsid w:val="00B173F1"/>
    <w:rsid w:val="00B17CC5"/>
    <w:rsid w:val="00B422B5"/>
    <w:rsid w:val="00B605F9"/>
    <w:rsid w:val="00B61A9F"/>
    <w:rsid w:val="00B66DAF"/>
    <w:rsid w:val="00B67523"/>
    <w:rsid w:val="00B73604"/>
    <w:rsid w:val="00B74D7F"/>
    <w:rsid w:val="00B76313"/>
    <w:rsid w:val="00B821BF"/>
    <w:rsid w:val="00B836C1"/>
    <w:rsid w:val="00B84D8E"/>
    <w:rsid w:val="00B85C71"/>
    <w:rsid w:val="00B91085"/>
    <w:rsid w:val="00B9237E"/>
    <w:rsid w:val="00BA1400"/>
    <w:rsid w:val="00BB0ADF"/>
    <w:rsid w:val="00BB2456"/>
    <w:rsid w:val="00BB3C2B"/>
    <w:rsid w:val="00BC1672"/>
    <w:rsid w:val="00BC3D6D"/>
    <w:rsid w:val="00BC751D"/>
    <w:rsid w:val="00BD1DD1"/>
    <w:rsid w:val="00BD245C"/>
    <w:rsid w:val="00BD38DC"/>
    <w:rsid w:val="00BD3CB6"/>
    <w:rsid w:val="00BD6604"/>
    <w:rsid w:val="00BE051F"/>
    <w:rsid w:val="00BE0E18"/>
    <w:rsid w:val="00BE127D"/>
    <w:rsid w:val="00BE55AF"/>
    <w:rsid w:val="00BE7B3A"/>
    <w:rsid w:val="00BF2BA2"/>
    <w:rsid w:val="00BF6728"/>
    <w:rsid w:val="00BF7CC5"/>
    <w:rsid w:val="00C00B89"/>
    <w:rsid w:val="00C017DE"/>
    <w:rsid w:val="00C02F44"/>
    <w:rsid w:val="00C04E29"/>
    <w:rsid w:val="00C04FB2"/>
    <w:rsid w:val="00C114E9"/>
    <w:rsid w:val="00C11910"/>
    <w:rsid w:val="00C12A9A"/>
    <w:rsid w:val="00C12FDA"/>
    <w:rsid w:val="00C17B50"/>
    <w:rsid w:val="00C17FEA"/>
    <w:rsid w:val="00C242BC"/>
    <w:rsid w:val="00C26A49"/>
    <w:rsid w:val="00C30EA6"/>
    <w:rsid w:val="00C32106"/>
    <w:rsid w:val="00C341C2"/>
    <w:rsid w:val="00C37A1C"/>
    <w:rsid w:val="00C41D2E"/>
    <w:rsid w:val="00C41E57"/>
    <w:rsid w:val="00C53D89"/>
    <w:rsid w:val="00C57BC2"/>
    <w:rsid w:val="00C60801"/>
    <w:rsid w:val="00C61B5E"/>
    <w:rsid w:val="00C61C64"/>
    <w:rsid w:val="00C64197"/>
    <w:rsid w:val="00C67E9A"/>
    <w:rsid w:val="00C71382"/>
    <w:rsid w:val="00C725A7"/>
    <w:rsid w:val="00C73438"/>
    <w:rsid w:val="00C77123"/>
    <w:rsid w:val="00C9032D"/>
    <w:rsid w:val="00C95429"/>
    <w:rsid w:val="00C95E0E"/>
    <w:rsid w:val="00C96BB8"/>
    <w:rsid w:val="00CA50B3"/>
    <w:rsid w:val="00CA7066"/>
    <w:rsid w:val="00CB3660"/>
    <w:rsid w:val="00CB55C3"/>
    <w:rsid w:val="00CB5940"/>
    <w:rsid w:val="00CB6872"/>
    <w:rsid w:val="00CC077B"/>
    <w:rsid w:val="00CC151D"/>
    <w:rsid w:val="00CC20D1"/>
    <w:rsid w:val="00CC5CF0"/>
    <w:rsid w:val="00CD08B5"/>
    <w:rsid w:val="00CD2131"/>
    <w:rsid w:val="00CD4C84"/>
    <w:rsid w:val="00CD5601"/>
    <w:rsid w:val="00CD5D4D"/>
    <w:rsid w:val="00CE0EFD"/>
    <w:rsid w:val="00CE4B92"/>
    <w:rsid w:val="00CE56D8"/>
    <w:rsid w:val="00CE6829"/>
    <w:rsid w:val="00CF38F6"/>
    <w:rsid w:val="00D00179"/>
    <w:rsid w:val="00D03A04"/>
    <w:rsid w:val="00D0622F"/>
    <w:rsid w:val="00D07A80"/>
    <w:rsid w:val="00D10EDB"/>
    <w:rsid w:val="00D12DDD"/>
    <w:rsid w:val="00D134DC"/>
    <w:rsid w:val="00D1365D"/>
    <w:rsid w:val="00D13DFA"/>
    <w:rsid w:val="00D15275"/>
    <w:rsid w:val="00D26935"/>
    <w:rsid w:val="00D34909"/>
    <w:rsid w:val="00D35356"/>
    <w:rsid w:val="00D35724"/>
    <w:rsid w:val="00D358C1"/>
    <w:rsid w:val="00D47CA5"/>
    <w:rsid w:val="00D47D0E"/>
    <w:rsid w:val="00D51508"/>
    <w:rsid w:val="00D6242C"/>
    <w:rsid w:val="00D638C1"/>
    <w:rsid w:val="00D65FAF"/>
    <w:rsid w:val="00D7038E"/>
    <w:rsid w:val="00D72AB4"/>
    <w:rsid w:val="00D773CD"/>
    <w:rsid w:val="00D8048D"/>
    <w:rsid w:val="00D84899"/>
    <w:rsid w:val="00DA0F4C"/>
    <w:rsid w:val="00DA30E4"/>
    <w:rsid w:val="00DA35FF"/>
    <w:rsid w:val="00DA488E"/>
    <w:rsid w:val="00DA573C"/>
    <w:rsid w:val="00DA698C"/>
    <w:rsid w:val="00DB03FE"/>
    <w:rsid w:val="00DB29F0"/>
    <w:rsid w:val="00DB29F9"/>
    <w:rsid w:val="00DB3B4A"/>
    <w:rsid w:val="00DC0DE3"/>
    <w:rsid w:val="00DC57C2"/>
    <w:rsid w:val="00DC7931"/>
    <w:rsid w:val="00DC7A63"/>
    <w:rsid w:val="00DD0453"/>
    <w:rsid w:val="00DD1F76"/>
    <w:rsid w:val="00DD32B7"/>
    <w:rsid w:val="00DE056C"/>
    <w:rsid w:val="00DE2E86"/>
    <w:rsid w:val="00DE4C10"/>
    <w:rsid w:val="00DF001D"/>
    <w:rsid w:val="00DF4BCF"/>
    <w:rsid w:val="00DF7A25"/>
    <w:rsid w:val="00E03C4A"/>
    <w:rsid w:val="00E03F7F"/>
    <w:rsid w:val="00E042E5"/>
    <w:rsid w:val="00E04D5E"/>
    <w:rsid w:val="00E07F29"/>
    <w:rsid w:val="00E16F7E"/>
    <w:rsid w:val="00E1765A"/>
    <w:rsid w:val="00E1765E"/>
    <w:rsid w:val="00E23E98"/>
    <w:rsid w:val="00E27488"/>
    <w:rsid w:val="00E33DF7"/>
    <w:rsid w:val="00E33E39"/>
    <w:rsid w:val="00E4093B"/>
    <w:rsid w:val="00E42526"/>
    <w:rsid w:val="00E5251C"/>
    <w:rsid w:val="00E5295E"/>
    <w:rsid w:val="00E5436E"/>
    <w:rsid w:val="00E57C6B"/>
    <w:rsid w:val="00E62CAA"/>
    <w:rsid w:val="00E638E8"/>
    <w:rsid w:val="00E64A29"/>
    <w:rsid w:val="00E65B09"/>
    <w:rsid w:val="00E668E7"/>
    <w:rsid w:val="00E708F5"/>
    <w:rsid w:val="00E7150D"/>
    <w:rsid w:val="00E7455A"/>
    <w:rsid w:val="00E74657"/>
    <w:rsid w:val="00E81139"/>
    <w:rsid w:val="00E84F8D"/>
    <w:rsid w:val="00E86BAD"/>
    <w:rsid w:val="00E87F1C"/>
    <w:rsid w:val="00E9263A"/>
    <w:rsid w:val="00E954AE"/>
    <w:rsid w:val="00EA4858"/>
    <w:rsid w:val="00EA48D8"/>
    <w:rsid w:val="00EA728E"/>
    <w:rsid w:val="00EA7CD5"/>
    <w:rsid w:val="00EB4640"/>
    <w:rsid w:val="00EB7468"/>
    <w:rsid w:val="00EC19F5"/>
    <w:rsid w:val="00ED2FB1"/>
    <w:rsid w:val="00ED533B"/>
    <w:rsid w:val="00EE03D4"/>
    <w:rsid w:val="00EE05B4"/>
    <w:rsid w:val="00EF0BE3"/>
    <w:rsid w:val="00EF282A"/>
    <w:rsid w:val="00EF3ADA"/>
    <w:rsid w:val="00EF44A8"/>
    <w:rsid w:val="00F002D6"/>
    <w:rsid w:val="00F002F4"/>
    <w:rsid w:val="00F0088A"/>
    <w:rsid w:val="00F0351D"/>
    <w:rsid w:val="00F066C5"/>
    <w:rsid w:val="00F06C9F"/>
    <w:rsid w:val="00F11B29"/>
    <w:rsid w:val="00F26406"/>
    <w:rsid w:val="00F264D6"/>
    <w:rsid w:val="00F30084"/>
    <w:rsid w:val="00F3047B"/>
    <w:rsid w:val="00F34D98"/>
    <w:rsid w:val="00F34DEF"/>
    <w:rsid w:val="00F34EB5"/>
    <w:rsid w:val="00F351D8"/>
    <w:rsid w:val="00F43E24"/>
    <w:rsid w:val="00F517B6"/>
    <w:rsid w:val="00F540DF"/>
    <w:rsid w:val="00F54151"/>
    <w:rsid w:val="00F57B46"/>
    <w:rsid w:val="00F62D92"/>
    <w:rsid w:val="00F63FCE"/>
    <w:rsid w:val="00F760E9"/>
    <w:rsid w:val="00F83415"/>
    <w:rsid w:val="00F8583C"/>
    <w:rsid w:val="00F859F6"/>
    <w:rsid w:val="00F879DA"/>
    <w:rsid w:val="00F93D18"/>
    <w:rsid w:val="00F959CB"/>
    <w:rsid w:val="00FA00D2"/>
    <w:rsid w:val="00FA2F00"/>
    <w:rsid w:val="00FB4BF0"/>
    <w:rsid w:val="00FC1F32"/>
    <w:rsid w:val="00FC4D90"/>
    <w:rsid w:val="00FD3AD8"/>
    <w:rsid w:val="00FD4842"/>
    <w:rsid w:val="00FD5176"/>
    <w:rsid w:val="00FD594F"/>
    <w:rsid w:val="00FD6DB6"/>
    <w:rsid w:val="00FD7261"/>
    <w:rsid w:val="00FE286C"/>
    <w:rsid w:val="00FE3BAA"/>
    <w:rsid w:val="00FE3C39"/>
    <w:rsid w:val="00FE45A2"/>
    <w:rsid w:val="00FE5462"/>
    <w:rsid w:val="00FE5864"/>
    <w:rsid w:val="00FE5B86"/>
    <w:rsid w:val="00FF3FD3"/>
    <w:rsid w:val="00FF5B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F71327F"/>
  <w15:chartTrackingRefBased/>
  <w15:docId w15:val="{6A2AD07C-6D13-46D5-938C-18341C6C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64" w:lineRule="auto"/>
        <w:jc w:val="lowKashida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aliases w:val="kapitola1,Section Title 1,PAGE HEADING,Za A,kapitola,Muj nadpis"/>
    <w:basedOn w:val="Normln"/>
    <w:next w:val="Normln"/>
    <w:link w:val="Nadpis1Char1"/>
    <w:qFormat/>
    <w:rsid w:val="00150CFA"/>
    <w:pPr>
      <w:keepNext/>
      <w:keepLines/>
      <w:numPr>
        <w:numId w:val="2"/>
      </w:numPr>
      <w:spacing w:before="240" w:after="240" w:line="240" w:lineRule="auto"/>
      <w:jc w:val="left"/>
      <w:outlineLvl w:val="0"/>
    </w:pPr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paragraph" w:styleId="Nadpis2">
    <w:name w:val="heading 2"/>
    <w:aliases w:val="Podkapitola,kapitola2,Subsection Title 2,smaller still heading,Nadpis nižší úrovně,Nadpis,2,1,1.1. Nadpis 2"/>
    <w:basedOn w:val="Normln"/>
    <w:next w:val="Normln"/>
    <w:link w:val="Nadpis2Char1"/>
    <w:qFormat/>
    <w:rsid w:val="00317EAD"/>
    <w:pPr>
      <w:numPr>
        <w:ilvl w:val="1"/>
        <w:numId w:val="1"/>
      </w:numPr>
      <w:spacing w:before="180" w:after="120" w:line="240" w:lineRule="auto"/>
      <w:outlineLvl w:val="1"/>
    </w:pPr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styleId="Nadpis3">
    <w:name w:val="heading 3"/>
    <w:aliases w:val="Clanek,kapitola3,Subsection Title 3,Subsection Title 3 + Links:  0 cm,Erste Zeile:  0 cm + Links:  ...,Titul1,Heading 3 Char Char"/>
    <w:basedOn w:val="Normln"/>
    <w:next w:val="Normln"/>
    <w:link w:val="Nadpis3Char"/>
    <w:qFormat/>
    <w:rsid w:val="00317EAD"/>
    <w:pPr>
      <w:numPr>
        <w:ilvl w:val="2"/>
        <w:numId w:val="1"/>
      </w:numPr>
      <w:tabs>
        <w:tab w:val="left" w:pos="851"/>
      </w:tabs>
      <w:spacing w:before="180" w:after="120" w:line="240" w:lineRule="auto"/>
      <w:outlineLvl w:val="2"/>
    </w:pPr>
    <w:rPr>
      <w:rFonts w:ascii="Arial" w:eastAsia="Times New Roman" w:hAnsi="Arial" w:cs="Arial"/>
      <w:b/>
      <w:sz w:val="20"/>
      <w:szCs w:val="26"/>
      <w:lang w:eastAsia="cs-CZ"/>
    </w:rPr>
  </w:style>
  <w:style w:type="paragraph" w:styleId="Nadpis4">
    <w:name w:val="heading 4"/>
    <w:aliases w:val="Subsection Title 4,4"/>
    <w:basedOn w:val="Normln"/>
    <w:next w:val="Normln"/>
    <w:link w:val="Nadpis4Char"/>
    <w:qFormat/>
    <w:rsid w:val="00317EAD"/>
    <w:pPr>
      <w:keepNext/>
      <w:numPr>
        <w:ilvl w:val="3"/>
        <w:numId w:val="1"/>
      </w:numPr>
      <w:tabs>
        <w:tab w:val="clear" w:pos="0"/>
        <w:tab w:val="left" w:pos="851"/>
      </w:tabs>
      <w:spacing w:before="120" w:after="0" w:line="240" w:lineRule="auto"/>
      <w:ind w:left="851" w:hanging="851"/>
      <w:outlineLvl w:val="3"/>
    </w:pPr>
    <w:rPr>
      <w:rFonts w:ascii="Arial" w:eastAsia="Times New Roman" w:hAnsi="Arial" w:cs="Times New Roman"/>
      <w:bCs/>
      <w:sz w:val="20"/>
      <w:szCs w:val="24"/>
      <w:lang w:eastAsia="cs-CZ"/>
    </w:rPr>
  </w:style>
  <w:style w:type="paragraph" w:styleId="Nadpis5">
    <w:name w:val="heading 5"/>
    <w:basedOn w:val="Normln"/>
    <w:next w:val="Normln"/>
    <w:link w:val="Nadpis5Char"/>
    <w:qFormat/>
    <w:rsid w:val="00317EAD"/>
    <w:pPr>
      <w:numPr>
        <w:ilvl w:val="4"/>
        <w:numId w:val="1"/>
      </w:numPr>
      <w:spacing w:before="240" w:after="60" w:line="240" w:lineRule="auto"/>
      <w:outlineLvl w:val="4"/>
    </w:pPr>
    <w:rPr>
      <w:rFonts w:ascii="Arial" w:eastAsia="Times New Roman" w:hAnsi="Arial" w:cs="Times New Roman"/>
      <w:sz w:val="20"/>
      <w:szCs w:val="26"/>
      <w:lang w:eastAsia="cs-CZ"/>
    </w:rPr>
  </w:style>
  <w:style w:type="paragraph" w:styleId="Nadpis6">
    <w:name w:val="heading 6"/>
    <w:basedOn w:val="Normln"/>
    <w:next w:val="Normln"/>
    <w:link w:val="Nadpis6Char"/>
    <w:qFormat/>
    <w:rsid w:val="00317EAD"/>
    <w:pPr>
      <w:numPr>
        <w:ilvl w:val="5"/>
        <w:numId w:val="1"/>
      </w:numPr>
      <w:spacing w:before="240" w:after="60" w:line="240" w:lineRule="auto"/>
      <w:outlineLvl w:val="5"/>
    </w:pPr>
    <w:rPr>
      <w:rFonts w:ascii="Arial" w:eastAsia="Times New Roman" w:hAnsi="Arial" w:cs="Arial"/>
      <w:bCs/>
      <w:sz w:val="20"/>
      <w:lang w:eastAsia="cs-CZ"/>
    </w:rPr>
  </w:style>
  <w:style w:type="paragraph" w:styleId="Nadpis7">
    <w:name w:val="heading 7"/>
    <w:basedOn w:val="Normln"/>
    <w:next w:val="Normln"/>
    <w:link w:val="Nadpis7Char"/>
    <w:qFormat/>
    <w:rsid w:val="00317EAD"/>
    <w:pPr>
      <w:numPr>
        <w:ilvl w:val="6"/>
        <w:numId w:val="1"/>
      </w:numPr>
      <w:spacing w:before="240" w:after="60" w:line="240" w:lineRule="auto"/>
      <w:outlineLvl w:val="6"/>
    </w:pPr>
    <w:rPr>
      <w:rFonts w:ascii="Arial" w:eastAsia="Times New Roman" w:hAnsi="Arial" w:cs="Arial"/>
      <w:bCs/>
      <w:sz w:val="20"/>
      <w:szCs w:val="24"/>
      <w:lang w:eastAsia="cs-CZ"/>
    </w:rPr>
  </w:style>
  <w:style w:type="paragraph" w:styleId="Nadpis8">
    <w:name w:val="heading 8"/>
    <w:basedOn w:val="Normln"/>
    <w:next w:val="Normln"/>
    <w:link w:val="Nadpis8Char"/>
    <w:qFormat/>
    <w:rsid w:val="00317EAD"/>
    <w:pPr>
      <w:numPr>
        <w:ilvl w:val="7"/>
        <w:numId w:val="1"/>
      </w:numPr>
      <w:spacing w:before="240" w:after="60" w:line="240" w:lineRule="auto"/>
      <w:outlineLvl w:val="7"/>
    </w:pPr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paragraph" w:styleId="Nadpis9">
    <w:name w:val="heading 9"/>
    <w:basedOn w:val="Normln"/>
    <w:next w:val="Normln"/>
    <w:link w:val="Nadpis9Char"/>
    <w:qFormat/>
    <w:rsid w:val="00317EAD"/>
    <w:pPr>
      <w:numPr>
        <w:ilvl w:val="8"/>
        <w:numId w:val="1"/>
      </w:numPr>
      <w:spacing w:before="240" w:after="60" w:line="240" w:lineRule="auto"/>
      <w:outlineLvl w:val="8"/>
    </w:pPr>
    <w:rPr>
      <w:rFonts w:ascii="Arial" w:eastAsia="Times New Roman" w:hAnsi="Arial" w:cs="Arial"/>
      <w:bCs/>
      <w:sz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317EAD"/>
  </w:style>
  <w:style w:type="paragraph" w:styleId="Zpat">
    <w:name w:val="footer"/>
    <w:basedOn w:val="Normln"/>
    <w:link w:val="ZpatChar"/>
    <w:uiPriority w:val="99"/>
    <w:unhideWhenUsed/>
    <w:rsid w:val="00317EA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317EAD"/>
  </w:style>
  <w:style w:type="character" w:customStyle="1" w:styleId="Nadpis1Char">
    <w:name w:val="Nadpis 1 Char"/>
    <w:basedOn w:val="Standardnpsmoodstavce"/>
    <w:uiPriority w:val="9"/>
    <w:rsid w:val="00317EA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2Char">
    <w:name w:val="Nadpis 2 Char"/>
    <w:basedOn w:val="Standardnpsmoodstavce"/>
    <w:uiPriority w:val="9"/>
    <w:semiHidden/>
    <w:rsid w:val="00317EAD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customStyle="1" w:styleId="Nadpis3Char">
    <w:name w:val="Nadpis 3 Char"/>
    <w:aliases w:val="Clanek Char,kapitola3 Char,Subsection Title 3 Char,Subsection Title 3 + Links:  0 cm Char,Erste Zeile:  0 cm + Links:  ... Char,Titul1 Char,Heading 3 Char Char Char"/>
    <w:basedOn w:val="Standardnpsmoodstavce"/>
    <w:link w:val="Nadpis3"/>
    <w:rsid w:val="00317EAD"/>
    <w:rPr>
      <w:rFonts w:ascii="Arial" w:eastAsia="Times New Roman" w:hAnsi="Arial" w:cs="Arial"/>
      <w:b/>
      <w:sz w:val="20"/>
      <w:szCs w:val="26"/>
      <w:lang w:eastAsia="cs-CZ"/>
    </w:rPr>
  </w:style>
  <w:style w:type="character" w:customStyle="1" w:styleId="Nadpis4Char">
    <w:name w:val="Nadpis 4 Char"/>
    <w:aliases w:val="Subsection Title 4 Char,4 Char"/>
    <w:basedOn w:val="Standardnpsmoodstavce"/>
    <w:link w:val="Nadpis4"/>
    <w:rsid w:val="00317EAD"/>
    <w:rPr>
      <w:rFonts w:ascii="Arial" w:eastAsia="Times New Roman" w:hAnsi="Arial" w:cs="Times New Roman"/>
      <w:bCs/>
      <w:sz w:val="20"/>
      <w:szCs w:val="24"/>
      <w:lang w:eastAsia="cs-CZ"/>
    </w:rPr>
  </w:style>
  <w:style w:type="character" w:customStyle="1" w:styleId="Nadpis5Char">
    <w:name w:val="Nadpis 5 Char"/>
    <w:basedOn w:val="Standardnpsmoodstavce"/>
    <w:link w:val="Nadpis5"/>
    <w:rsid w:val="00317EAD"/>
    <w:rPr>
      <w:rFonts w:ascii="Arial" w:eastAsia="Times New Roman" w:hAnsi="Arial" w:cs="Times New Roman"/>
      <w:sz w:val="20"/>
      <w:szCs w:val="26"/>
      <w:lang w:eastAsia="cs-CZ"/>
    </w:rPr>
  </w:style>
  <w:style w:type="character" w:customStyle="1" w:styleId="Nadpis6Char">
    <w:name w:val="Nadpis 6 Char"/>
    <w:basedOn w:val="Standardnpsmoodstavce"/>
    <w:link w:val="Nadpis6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7Char">
    <w:name w:val="Nadpis 7 Char"/>
    <w:basedOn w:val="Standardnpsmoodstavce"/>
    <w:link w:val="Nadpis7"/>
    <w:rsid w:val="00317EAD"/>
    <w:rPr>
      <w:rFonts w:ascii="Arial" w:eastAsia="Times New Roman" w:hAnsi="Arial" w:cs="Arial"/>
      <w:bCs/>
      <w:sz w:val="20"/>
      <w:szCs w:val="24"/>
      <w:lang w:eastAsia="cs-CZ"/>
    </w:rPr>
  </w:style>
  <w:style w:type="character" w:customStyle="1" w:styleId="Nadpis8Char">
    <w:name w:val="Nadpis 8 Char"/>
    <w:basedOn w:val="Standardnpsmoodstavce"/>
    <w:link w:val="Nadpis8"/>
    <w:rsid w:val="00317EAD"/>
    <w:rPr>
      <w:rFonts w:ascii="Times New Roman" w:eastAsia="Times New Roman" w:hAnsi="Times New Roman" w:cs="Times New Roman"/>
      <w:bCs/>
      <w:sz w:val="20"/>
      <w:szCs w:val="24"/>
      <w:lang w:eastAsia="cs-CZ"/>
    </w:rPr>
  </w:style>
  <w:style w:type="character" w:customStyle="1" w:styleId="Nadpis9Char">
    <w:name w:val="Nadpis 9 Char"/>
    <w:basedOn w:val="Standardnpsmoodstavce"/>
    <w:link w:val="Nadpis9"/>
    <w:rsid w:val="00317EAD"/>
    <w:rPr>
      <w:rFonts w:ascii="Arial" w:eastAsia="Times New Roman" w:hAnsi="Arial" w:cs="Arial"/>
      <w:bCs/>
      <w:sz w:val="20"/>
      <w:lang w:eastAsia="cs-CZ"/>
    </w:rPr>
  </w:style>
  <w:style w:type="character" w:customStyle="1" w:styleId="Nadpis1Char1">
    <w:name w:val="Nadpis 1 Char1"/>
    <w:aliases w:val="kapitola1 Char,Section Title 1 Char,PAGE HEADING Char,Za A Char,kapitola Char,Muj nadpis Char"/>
    <w:basedOn w:val="Standardnpsmoodstavce"/>
    <w:link w:val="Nadpis1"/>
    <w:rsid w:val="00150CFA"/>
    <w:rPr>
      <w:rFonts w:ascii="Arial" w:eastAsia="Times New Roman" w:hAnsi="Arial" w:cs="Arial"/>
      <w:b/>
      <w:smallCaps/>
      <w:color w:val="C00000"/>
      <w:sz w:val="28"/>
      <w:szCs w:val="28"/>
      <w:lang w:val="en-US" w:eastAsia="cs-CZ"/>
    </w:rPr>
  </w:style>
  <w:style w:type="character" w:customStyle="1" w:styleId="Nadpis2Char1">
    <w:name w:val="Nadpis 2 Char1"/>
    <w:aliases w:val="Podkapitola Char,kapitola2 Char,Subsection Title 2 Char,smaller still heading Char,Nadpis nižší úrovně Char,Nadpis Char,2 Char,1 Char,1.1. Nadpis 2 Char"/>
    <w:basedOn w:val="Standardnpsmoodstavce"/>
    <w:link w:val="Nadpis2"/>
    <w:rsid w:val="00317EAD"/>
    <w:rPr>
      <w:rFonts w:ascii="Arial" w:eastAsia="Times New Roman" w:hAnsi="Arial" w:cs="Arial"/>
      <w:b/>
      <w:iCs/>
      <w:color w:val="002D62"/>
      <w:szCs w:val="28"/>
      <w:lang w:eastAsia="cs-CZ"/>
    </w:rPr>
  </w:style>
  <w:style w:type="paragraph" w:customStyle="1" w:styleId="TCBNadpis1">
    <w:name w:val="TCB_Nadpis1"/>
    <w:basedOn w:val="Nadpis1"/>
    <w:link w:val="TCBNadpis1Char"/>
    <w:qFormat/>
    <w:rsid w:val="00D65FAF"/>
    <w:pPr>
      <w:ind w:left="426" w:hanging="426"/>
    </w:pPr>
    <w:rPr>
      <w:caps/>
      <w:smallCaps w:val="0"/>
      <w:color w:val="70AD47" w:themeColor="accent6"/>
      <w:sz w:val="24"/>
      <w:szCs w:val="24"/>
      <w:lang w:val="pl-PL"/>
    </w:rPr>
  </w:style>
  <w:style w:type="paragraph" w:customStyle="1" w:styleId="TCBNadpis2">
    <w:name w:val="TCB_Nadpis_2"/>
    <w:basedOn w:val="Nadpis2"/>
    <w:link w:val="TCBNadpis2Char"/>
    <w:qFormat/>
    <w:rsid w:val="00D65FAF"/>
    <w:pPr>
      <w:keepNext/>
      <w:keepLines/>
      <w:numPr>
        <w:numId w:val="2"/>
      </w:numPr>
      <w:spacing w:before="240"/>
      <w:ind w:left="426" w:hanging="426"/>
    </w:pPr>
    <w:rPr>
      <w:color w:val="auto"/>
      <w:sz w:val="24"/>
    </w:rPr>
  </w:style>
  <w:style w:type="character" w:customStyle="1" w:styleId="TCBNadpis1Char">
    <w:name w:val="TCB_Nadpis1 Char"/>
    <w:basedOn w:val="Nadpis1Char1"/>
    <w:link w:val="TCBNadpis1"/>
    <w:rsid w:val="00D65FAF"/>
    <w:rPr>
      <w:rFonts w:ascii="Arial" w:eastAsia="Times New Roman" w:hAnsi="Arial" w:cs="Arial"/>
      <w:b/>
      <w:caps/>
      <w:smallCaps w:val="0"/>
      <w:color w:val="70AD47" w:themeColor="accent6"/>
      <w:sz w:val="24"/>
      <w:szCs w:val="24"/>
      <w:lang w:val="pl-PL" w:eastAsia="cs-CZ"/>
    </w:rPr>
  </w:style>
  <w:style w:type="paragraph" w:customStyle="1" w:styleId="TCBNadpis3">
    <w:name w:val="TCB_Nadpis_3"/>
    <w:basedOn w:val="Nadpis3"/>
    <w:link w:val="TCBNadpis3Char"/>
    <w:qFormat/>
    <w:rsid w:val="00D65FAF"/>
    <w:pPr>
      <w:keepNext/>
      <w:keepLines/>
      <w:numPr>
        <w:numId w:val="2"/>
      </w:numPr>
      <w:tabs>
        <w:tab w:val="clear" w:pos="851"/>
      </w:tabs>
      <w:spacing w:before="240" w:after="80"/>
      <w:ind w:left="851" w:hanging="851"/>
      <w:jc w:val="left"/>
    </w:pPr>
    <w:rPr>
      <w:sz w:val="22"/>
      <w:szCs w:val="20"/>
    </w:rPr>
  </w:style>
  <w:style w:type="character" w:customStyle="1" w:styleId="TCBNadpis2Char">
    <w:name w:val="TCB_Nadpis_2 Char"/>
    <w:basedOn w:val="Nadpis2Char1"/>
    <w:link w:val="TCBNadpis2"/>
    <w:rsid w:val="00D65FAF"/>
    <w:rPr>
      <w:rFonts w:ascii="Arial" w:eastAsia="Times New Roman" w:hAnsi="Arial" w:cs="Arial"/>
      <w:b/>
      <w:iCs/>
      <w:color w:val="002D62"/>
      <w:sz w:val="24"/>
      <w:szCs w:val="28"/>
      <w:lang w:eastAsia="cs-CZ"/>
    </w:rPr>
  </w:style>
  <w:style w:type="paragraph" w:customStyle="1" w:styleId="TCBNadpis4">
    <w:name w:val="TCB_Nadpis_4"/>
    <w:basedOn w:val="Nadpis3"/>
    <w:link w:val="TCBNadpis4Char"/>
    <w:qFormat/>
    <w:rsid w:val="009938D3"/>
    <w:pPr>
      <w:keepNext/>
      <w:keepLines/>
      <w:numPr>
        <w:ilvl w:val="3"/>
        <w:numId w:val="2"/>
      </w:numPr>
      <w:tabs>
        <w:tab w:val="clear" w:pos="851"/>
      </w:tabs>
      <w:spacing w:before="120" w:after="80"/>
      <w:jc w:val="left"/>
    </w:pPr>
    <w:rPr>
      <w:szCs w:val="20"/>
    </w:rPr>
  </w:style>
  <w:style w:type="character" w:customStyle="1" w:styleId="TCBNadpis3Char">
    <w:name w:val="TCB_Nadpis_3 Char"/>
    <w:basedOn w:val="Nadpis3Char"/>
    <w:link w:val="TCBNadpis3"/>
    <w:rsid w:val="00D65FAF"/>
    <w:rPr>
      <w:rFonts w:ascii="Arial" w:eastAsia="Times New Roman" w:hAnsi="Arial" w:cs="Arial"/>
      <w:b/>
      <w:sz w:val="20"/>
      <w:szCs w:val="20"/>
      <w:lang w:eastAsia="cs-CZ"/>
    </w:rPr>
  </w:style>
  <w:style w:type="paragraph" w:customStyle="1" w:styleId="TCBNormalni">
    <w:name w:val="TCB_Normalni"/>
    <w:basedOn w:val="Normln"/>
    <w:link w:val="TCBNormalniChar"/>
    <w:qFormat/>
    <w:rsid w:val="005B7ABB"/>
    <w:pPr>
      <w:spacing w:after="80"/>
    </w:pPr>
    <w:rPr>
      <w:rFonts w:asciiTheme="minorBidi" w:hAnsiTheme="minorBidi"/>
      <w:sz w:val="20"/>
      <w:szCs w:val="20"/>
    </w:rPr>
  </w:style>
  <w:style w:type="character" w:customStyle="1" w:styleId="TCBNadpis4Char">
    <w:name w:val="TCB_Nadpis_4 Char"/>
    <w:basedOn w:val="Nadpis3Char"/>
    <w:link w:val="TCBNadpis4"/>
    <w:rsid w:val="009938D3"/>
    <w:rPr>
      <w:rFonts w:ascii="Arial" w:eastAsia="Times New Roman" w:hAnsi="Arial" w:cs="Arial"/>
      <w:b/>
      <w:sz w:val="20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5166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CBNormalniChar">
    <w:name w:val="TCB_Normalni Char"/>
    <w:basedOn w:val="Standardnpsmoodstavce"/>
    <w:link w:val="TCBNormalni"/>
    <w:rsid w:val="005B7ABB"/>
    <w:rPr>
      <w:rFonts w:asciiTheme="minorBidi" w:hAnsiTheme="minorBidi"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751667"/>
    <w:rPr>
      <w:rFonts w:ascii="Segoe UI" w:hAnsi="Segoe UI" w:cs="Segoe UI"/>
      <w:sz w:val="18"/>
      <w:szCs w:val="18"/>
    </w:rPr>
  </w:style>
  <w:style w:type="paragraph" w:styleId="Nadpisobsahu">
    <w:name w:val="TOC Heading"/>
    <w:basedOn w:val="Nadpis1"/>
    <w:next w:val="Normln"/>
    <w:uiPriority w:val="39"/>
    <w:unhideWhenUsed/>
    <w:qFormat/>
    <w:rsid w:val="00682B20"/>
    <w:pPr>
      <w:numPr>
        <w:numId w:val="0"/>
      </w:numPr>
      <w:spacing w:after="0" w:line="259" w:lineRule="auto"/>
      <w:outlineLvl w:val="9"/>
    </w:pPr>
    <w:rPr>
      <w:rFonts w:asciiTheme="majorHAnsi" w:eastAsiaTheme="majorEastAsia" w:hAnsiTheme="majorHAnsi" w:cstheme="majorBidi"/>
      <w:b w:val="0"/>
      <w:smallCaps w:val="0"/>
      <w:color w:val="2F5496" w:themeColor="accent1" w:themeShade="BF"/>
      <w:sz w:val="32"/>
      <w:szCs w:val="32"/>
      <w:lang w:val="cs-CZ"/>
    </w:rPr>
  </w:style>
  <w:style w:type="paragraph" w:styleId="Obsah1">
    <w:name w:val="toc 1"/>
    <w:basedOn w:val="Normln"/>
    <w:next w:val="Normln"/>
    <w:autoRedefine/>
    <w:uiPriority w:val="39"/>
    <w:unhideWhenUsed/>
    <w:rsid w:val="00682B20"/>
    <w:pPr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682B20"/>
    <w:pPr>
      <w:spacing w:after="100"/>
      <w:ind w:left="220"/>
    </w:pPr>
  </w:style>
  <w:style w:type="paragraph" w:styleId="Obsah3">
    <w:name w:val="toc 3"/>
    <w:basedOn w:val="Normln"/>
    <w:next w:val="Normln"/>
    <w:autoRedefine/>
    <w:uiPriority w:val="39"/>
    <w:unhideWhenUsed/>
    <w:rsid w:val="00682B20"/>
    <w:pPr>
      <w:spacing w:after="100"/>
      <w:ind w:left="440"/>
    </w:pPr>
  </w:style>
  <w:style w:type="character" w:styleId="Hypertextovodkaz">
    <w:name w:val="Hyperlink"/>
    <w:basedOn w:val="Standardnpsmoodstavce"/>
    <w:uiPriority w:val="99"/>
    <w:unhideWhenUsed/>
    <w:rsid w:val="00682B20"/>
    <w:rPr>
      <w:color w:val="0563C1" w:themeColor="hyperlink"/>
      <w:u w:val="single"/>
    </w:rPr>
  </w:style>
  <w:style w:type="paragraph" w:styleId="Odstavecseseznamem">
    <w:name w:val="List Paragraph"/>
    <w:basedOn w:val="Normln"/>
    <w:uiPriority w:val="34"/>
    <w:qFormat/>
    <w:rsid w:val="009C4151"/>
    <w:pPr>
      <w:spacing w:line="256" w:lineRule="auto"/>
      <w:ind w:left="720"/>
      <w:contextualSpacing/>
      <w:jc w:val="left"/>
    </w:pPr>
    <w:rPr>
      <w:rFonts w:eastAsiaTheme="minorEastAsia"/>
      <w:lang w:eastAsia="zh-TW"/>
    </w:rPr>
  </w:style>
  <w:style w:type="character" w:styleId="Odkaznakoment">
    <w:name w:val="annotation reference"/>
    <w:basedOn w:val="Standardnpsmoodstavce"/>
    <w:uiPriority w:val="99"/>
    <w:semiHidden/>
    <w:unhideWhenUsed/>
    <w:rsid w:val="006D43A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unhideWhenUsed/>
    <w:rsid w:val="006D43A6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rsid w:val="006D43A6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D43A6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D43A6"/>
    <w:rPr>
      <w:b/>
      <w:bCs/>
      <w:sz w:val="20"/>
      <w:szCs w:val="20"/>
    </w:rPr>
  </w:style>
  <w:style w:type="paragraph" w:customStyle="1" w:styleId="Tabulka-zhlav">
    <w:name w:val="Tabulka - záhlaví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b/>
      <w:sz w:val="18"/>
      <w:szCs w:val="24"/>
      <w:lang w:eastAsia="cs-CZ"/>
    </w:rPr>
  </w:style>
  <w:style w:type="paragraph" w:customStyle="1" w:styleId="Tabulka-obsah">
    <w:name w:val="Tabulka - obsah"/>
    <w:basedOn w:val="Normln"/>
    <w:rsid w:val="00394133"/>
    <w:pPr>
      <w:spacing w:after="0" w:line="240" w:lineRule="auto"/>
      <w:jc w:val="both"/>
    </w:pPr>
    <w:rPr>
      <w:rFonts w:ascii="Arial" w:eastAsia="Times New Roman" w:hAnsi="Arial" w:cs="Times New Roman"/>
      <w:sz w:val="18"/>
      <w:szCs w:val="24"/>
      <w:lang w:eastAsia="cs-CZ"/>
    </w:rPr>
  </w:style>
  <w:style w:type="character" w:customStyle="1" w:styleId="tlid-translation">
    <w:name w:val="tlid-translation"/>
    <w:basedOn w:val="Standardnpsmoodstavce"/>
    <w:rsid w:val="00394133"/>
  </w:style>
  <w:style w:type="paragraph" w:customStyle="1" w:styleId="Odrka">
    <w:name w:val="Odrážka"/>
    <w:basedOn w:val="Normln"/>
    <w:qFormat/>
    <w:rsid w:val="00340B03"/>
    <w:pPr>
      <w:numPr>
        <w:numId w:val="3"/>
      </w:numPr>
      <w:spacing w:after="120" w:line="240" w:lineRule="auto"/>
      <w:jc w:val="left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Odstavec">
    <w:name w:val="Odstavec"/>
    <w:basedOn w:val="Normln"/>
    <w:rsid w:val="00340B03"/>
    <w:pPr>
      <w:spacing w:before="120" w:after="120" w:line="240" w:lineRule="auto"/>
      <w:jc w:val="left"/>
    </w:pPr>
    <w:rPr>
      <w:rFonts w:ascii="Arial" w:eastAsia="Times New Roman" w:hAnsi="Arial" w:cs="Times New Roman"/>
      <w:kern w:val="28"/>
      <w:szCs w:val="20"/>
      <w:lang w:eastAsia="cs-CZ"/>
    </w:rPr>
  </w:style>
  <w:style w:type="paragraph" w:customStyle="1" w:styleId="StylZarovnatdobloku">
    <w:name w:val="Styl Zarovnat do bloku"/>
    <w:basedOn w:val="Normln"/>
    <w:rsid w:val="00340B03"/>
    <w:pPr>
      <w:spacing w:after="120" w:line="240" w:lineRule="auto"/>
      <w:jc w:val="left"/>
    </w:pPr>
    <w:rPr>
      <w:rFonts w:ascii="Arial" w:eastAsia="Times New Roman" w:hAnsi="Arial" w:cs="Times New Roman"/>
      <w:kern w:val="28"/>
      <w:szCs w:val="20"/>
      <w:lang w:eastAsia="cs-CZ"/>
    </w:rPr>
  </w:style>
  <w:style w:type="paragraph" w:styleId="Titulek">
    <w:name w:val="caption"/>
    <w:basedOn w:val="Normln"/>
    <w:next w:val="Normln"/>
    <w:qFormat/>
    <w:rsid w:val="00340B03"/>
    <w:pPr>
      <w:spacing w:before="60" w:after="120" w:line="240" w:lineRule="auto"/>
      <w:ind w:left="1151"/>
      <w:jc w:val="left"/>
    </w:pPr>
    <w:rPr>
      <w:rFonts w:ascii="Arial" w:eastAsia="Times New Roman" w:hAnsi="Arial" w:cs="Times New Roman"/>
      <w:b/>
      <w:bCs/>
      <w:sz w:val="20"/>
      <w:szCs w:val="20"/>
      <w:lang w:eastAsia="cs-CZ"/>
    </w:rPr>
  </w:style>
  <w:style w:type="paragraph" w:styleId="Textpoznpodarou">
    <w:name w:val="footnote text"/>
    <w:basedOn w:val="Normln"/>
    <w:link w:val="TextpoznpodarouChar"/>
    <w:semiHidden/>
    <w:rsid w:val="00340B03"/>
    <w:pPr>
      <w:spacing w:before="60" w:after="60" w:line="240" w:lineRule="auto"/>
      <w:ind w:left="1151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character" w:customStyle="1" w:styleId="TextpoznpodarouChar">
    <w:name w:val="Text pozn. pod čarou Char"/>
    <w:basedOn w:val="Standardnpsmoodstavce"/>
    <w:link w:val="Textpoznpodarou"/>
    <w:semiHidden/>
    <w:rsid w:val="00340B03"/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Tab">
    <w:name w:val="Tab"/>
    <w:basedOn w:val="Titulek"/>
    <w:rsid w:val="00340B03"/>
    <w:pPr>
      <w:jc w:val="center"/>
    </w:pPr>
  </w:style>
  <w:style w:type="character" w:styleId="Znakapoznpodarou">
    <w:name w:val="footnote reference"/>
    <w:semiHidden/>
    <w:rsid w:val="00340B03"/>
    <w:rPr>
      <w:vertAlign w:val="superscript"/>
    </w:rPr>
  </w:style>
  <w:style w:type="paragraph" w:customStyle="1" w:styleId="Blok">
    <w:name w:val="Blok"/>
    <w:basedOn w:val="Normln"/>
    <w:rsid w:val="00B85C71"/>
    <w:pPr>
      <w:spacing w:before="60" w:after="60" w:line="240" w:lineRule="auto"/>
      <w:ind w:left="1151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rky">
    <w:name w:val="Odrážky"/>
    <w:basedOn w:val="Normln"/>
    <w:rsid w:val="006B43EA"/>
    <w:pPr>
      <w:numPr>
        <w:numId w:val="9"/>
      </w:numPr>
      <w:tabs>
        <w:tab w:val="clear" w:pos="360"/>
        <w:tab w:val="left" w:pos="1151"/>
      </w:tabs>
      <w:spacing w:after="0" w:line="240" w:lineRule="auto"/>
      <w:ind w:left="1435" w:hanging="284"/>
      <w:jc w:val="both"/>
    </w:pPr>
    <w:rPr>
      <w:rFonts w:ascii="Arial" w:eastAsia="Times New Roman" w:hAnsi="Arial" w:cs="Times New Roman"/>
      <w:sz w:val="20"/>
      <w:szCs w:val="20"/>
      <w:lang w:eastAsia="cs-CZ"/>
    </w:rPr>
  </w:style>
  <w:style w:type="paragraph" w:customStyle="1" w:styleId="Odrkyodsaz">
    <w:name w:val="Odrážky_odsaz"/>
    <w:basedOn w:val="Odrky"/>
    <w:rsid w:val="006B43EA"/>
    <w:pPr>
      <w:numPr>
        <w:ilvl w:val="1"/>
      </w:numPr>
      <w:tabs>
        <w:tab w:val="clear" w:pos="1080"/>
        <w:tab w:val="left" w:pos="1701"/>
      </w:tabs>
      <w:ind w:left="2058" w:hanging="357"/>
    </w:pPr>
  </w:style>
  <w:style w:type="character" w:styleId="Siln">
    <w:name w:val="Strong"/>
    <w:basedOn w:val="Standardnpsmoodstavce"/>
    <w:uiPriority w:val="22"/>
    <w:qFormat/>
    <w:rsid w:val="00141E64"/>
    <w:rPr>
      <w:b/>
      <w:bCs/>
    </w:rPr>
  </w:style>
  <w:style w:type="paragraph" w:styleId="Zkladntext">
    <w:name w:val="Body Text"/>
    <w:basedOn w:val="Normln"/>
    <w:link w:val="ZkladntextChar"/>
    <w:uiPriority w:val="99"/>
    <w:semiHidden/>
    <w:unhideWhenUsed/>
    <w:rsid w:val="00141E64"/>
    <w:pPr>
      <w:spacing w:before="120" w:after="120" w:line="360" w:lineRule="auto"/>
      <w:jc w:val="both"/>
    </w:pPr>
    <w:rPr>
      <w:rFonts w:ascii="Arial" w:eastAsia="Times New Roman" w:hAnsi="Arial" w:cs="Times New Roman"/>
      <w:szCs w:val="20"/>
      <w:lang w:val="en-US" w:eastAsia="tr-TR"/>
    </w:r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141E64"/>
    <w:rPr>
      <w:rFonts w:ascii="Arial" w:eastAsia="Times New Roman" w:hAnsi="Arial" w:cs="Times New Roman"/>
      <w:szCs w:val="20"/>
      <w:lang w:val="en-US" w:eastAsia="tr-TR"/>
    </w:rPr>
  </w:style>
  <w:style w:type="paragraph" w:styleId="Podnadpis">
    <w:name w:val="Subtitle"/>
    <w:basedOn w:val="Normln"/>
    <w:next w:val="Normln"/>
    <w:link w:val="PodnadpisChar"/>
    <w:rsid w:val="00141E64"/>
    <w:pPr>
      <w:keepNext/>
      <w:spacing w:before="120" w:after="120" w:line="240" w:lineRule="auto"/>
      <w:jc w:val="left"/>
    </w:pPr>
    <w:rPr>
      <w:rFonts w:ascii="Arial" w:eastAsia="Times New Roman" w:hAnsi="Arial" w:cs="Times New Roman"/>
      <w:b/>
      <w:kern w:val="28"/>
      <w:sz w:val="24"/>
      <w:szCs w:val="20"/>
      <w:lang w:eastAsia="cs-CZ"/>
    </w:rPr>
  </w:style>
  <w:style w:type="character" w:customStyle="1" w:styleId="PodnadpisChar">
    <w:name w:val="Podnadpis Char"/>
    <w:basedOn w:val="Standardnpsmoodstavce"/>
    <w:link w:val="Podnadpis"/>
    <w:rsid w:val="00141E64"/>
    <w:rPr>
      <w:rFonts w:ascii="Arial" w:eastAsia="Times New Roman" w:hAnsi="Arial" w:cs="Times New Roman"/>
      <w:b/>
      <w:kern w:val="28"/>
      <w:sz w:val="24"/>
      <w:szCs w:val="20"/>
      <w:lang w:eastAsia="cs-CZ"/>
    </w:rPr>
  </w:style>
  <w:style w:type="character" w:styleId="PromnnHTML">
    <w:name w:val="HTML Variable"/>
    <w:basedOn w:val="Standardnpsmoodstavce"/>
    <w:uiPriority w:val="99"/>
    <w:semiHidden/>
    <w:unhideWhenUsed/>
    <w:rsid w:val="00BD38DC"/>
    <w:rPr>
      <w:i/>
      <w:iCs/>
    </w:rPr>
  </w:style>
  <w:style w:type="character" w:styleId="Nevyeenzmnka">
    <w:name w:val="Unresolved Mention"/>
    <w:basedOn w:val="Standardnpsmoodstavce"/>
    <w:uiPriority w:val="99"/>
    <w:unhideWhenUsed/>
    <w:rsid w:val="00DC7A63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E5864"/>
    <w:pPr>
      <w:spacing w:after="0" w:line="240" w:lineRule="auto"/>
      <w:jc w:val="left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73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35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99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4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5B6C4E4-1A8D-4545-ADAF-1D8D41C61D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22</Pages>
  <Words>7008</Words>
  <Characters>41350</Characters>
  <Application>Microsoft Office Word</Application>
  <DocSecurity>0</DocSecurity>
  <Lines>344</Lines>
  <Paragraphs>96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48262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Urbánek, Tomáš</dc:creator>
  <cp:keywords/>
  <dc:description/>
  <cp:lastModifiedBy>Hlavacek, Ondrej 2 (SE TP)</cp:lastModifiedBy>
  <cp:revision>15</cp:revision>
  <cp:lastPrinted>2023-10-27T14:41:00Z</cp:lastPrinted>
  <dcterms:created xsi:type="dcterms:W3CDTF">2023-06-27T17:52:00Z</dcterms:created>
  <dcterms:modified xsi:type="dcterms:W3CDTF">2023-10-27T14:41:00Z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a6b84135-ab90-4b03-a415-784f8f15a7f1_Enabled">
    <vt:lpwstr>true</vt:lpwstr>
  </property>
  <property fmtid="{D5CDD505-2E9C-101B-9397-08002B2CF9AE}" pid="3" name="MSIP_Label_a6b84135-ab90-4b03-a415-784f8f15a7f1_SetDate">
    <vt:lpwstr>2023-01-17T11:33:27Z</vt:lpwstr>
  </property>
  <property fmtid="{D5CDD505-2E9C-101B-9397-08002B2CF9AE}" pid="4" name="MSIP_Label_a6b84135-ab90-4b03-a415-784f8f15a7f1_Method">
    <vt:lpwstr>Privileged</vt:lpwstr>
  </property>
  <property fmtid="{D5CDD505-2E9C-101B-9397-08002B2CF9AE}" pid="5" name="MSIP_Label_a6b84135-ab90-4b03-a415-784f8f15a7f1_Name">
    <vt:lpwstr>a6b84135-ab90-4b03-a415-784f8f15a7f1</vt:lpwstr>
  </property>
  <property fmtid="{D5CDD505-2E9C-101B-9397-08002B2CF9AE}" pid="6" name="MSIP_Label_a6b84135-ab90-4b03-a415-784f8f15a7f1_SiteId">
    <vt:lpwstr>2882be50-2012-4d88-ac86-544124e120c8</vt:lpwstr>
  </property>
  <property fmtid="{D5CDD505-2E9C-101B-9397-08002B2CF9AE}" pid="7" name="MSIP_Label_a6b84135-ab90-4b03-a415-784f8f15a7f1_ActionId">
    <vt:lpwstr>19687d79-c66c-446b-9719-db0989adb005</vt:lpwstr>
  </property>
  <property fmtid="{D5CDD505-2E9C-101B-9397-08002B2CF9AE}" pid="8" name="MSIP_Label_a6b84135-ab90-4b03-a415-784f8f15a7f1_ContentBits">
    <vt:lpwstr>0</vt:lpwstr>
  </property>
</Properties>
</file>