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2366" w14:textId="77777777" w:rsidR="004725E6" w:rsidRPr="00A45266" w:rsidRDefault="004725E6" w:rsidP="004725E6">
      <w:pPr>
        <w:pStyle w:val="Smlouva"/>
        <w:rPr>
          <w:rFonts w:ascii="Cambria" w:hAnsi="Cambria" w:cs="Cambria"/>
          <w:color w:val="auto"/>
          <w:sz w:val="52"/>
          <w:szCs w:val="52"/>
        </w:rPr>
      </w:pPr>
      <w:bookmarkStart w:id="0" w:name="_Hlk493450020"/>
      <w:r w:rsidRPr="00A45266">
        <w:rPr>
          <w:rFonts w:ascii="Cambria" w:hAnsi="Cambria" w:cs="Cambria"/>
          <w:color w:val="auto"/>
          <w:sz w:val="52"/>
          <w:szCs w:val="52"/>
        </w:rPr>
        <w:t>TECHNICKÉ PODMÍNKY</w:t>
      </w:r>
    </w:p>
    <w:p w14:paraId="2F9CB195" w14:textId="77777777" w:rsidR="004725E6" w:rsidRPr="00A45266" w:rsidRDefault="004725E6" w:rsidP="009D3CF1">
      <w:pPr>
        <w:pBdr>
          <w:bottom w:val="single" w:sz="36" w:space="1" w:color="215868" w:themeColor="accent5" w:themeShade="80"/>
        </w:pBdr>
        <w:jc w:val="center"/>
        <w:rPr>
          <w:rFonts w:ascii="Cambria" w:hAnsi="Cambria" w:cs="Cambria"/>
          <w:b/>
          <w:bCs/>
          <w:sz w:val="28"/>
          <w:szCs w:val="28"/>
        </w:rPr>
      </w:pPr>
      <w:r w:rsidRPr="00A45266">
        <w:rPr>
          <w:rFonts w:ascii="Cambria" w:hAnsi="Cambria" w:cs="Cambria"/>
          <w:b/>
          <w:bCs/>
          <w:sz w:val="28"/>
          <w:szCs w:val="28"/>
        </w:rPr>
        <w:t>na veřejnou zakázku s názvem:</w:t>
      </w:r>
    </w:p>
    <w:p w14:paraId="29557D71" w14:textId="77777777" w:rsidR="004725E6" w:rsidRPr="00A45266" w:rsidRDefault="004725E6" w:rsidP="004725E6">
      <w:pPr>
        <w:rPr>
          <w:rFonts w:ascii="Cambria" w:hAnsi="Cambria" w:cs="Cambria"/>
          <w:b/>
          <w:bCs/>
          <w:sz w:val="28"/>
          <w:szCs w:val="28"/>
        </w:rPr>
      </w:pPr>
    </w:p>
    <w:p w14:paraId="4FBA297F" w14:textId="61E577AF" w:rsidR="004725E6" w:rsidRPr="00A45266" w:rsidRDefault="006E7EDC" w:rsidP="00E901D8">
      <w:pPr>
        <w:tabs>
          <w:tab w:val="left" w:pos="1134"/>
        </w:tabs>
        <w:jc w:val="center"/>
        <w:rPr>
          <w:rFonts w:ascii="Cambria" w:hAnsi="Cambria" w:cs="Cambria"/>
          <w:b/>
          <w:bCs/>
          <w:sz w:val="28"/>
          <w:szCs w:val="28"/>
        </w:rPr>
      </w:pPr>
      <w:r w:rsidRPr="00A45266">
        <w:rPr>
          <w:rFonts w:ascii="Cambria" w:hAnsi="Cambria" w:cs="Cambria"/>
          <w:b/>
          <w:bCs/>
          <w:sz w:val="28"/>
          <w:szCs w:val="28"/>
        </w:rPr>
        <w:t>„</w:t>
      </w:r>
      <w:r w:rsidR="00E247ED" w:rsidRPr="00E247ED">
        <w:rPr>
          <w:rFonts w:ascii="Cambria" w:hAnsi="Cambria"/>
          <w:b/>
          <w:sz w:val="36"/>
          <w:szCs w:val="28"/>
        </w:rPr>
        <w:t>Celková revitalizace veřejného osvětlení města Pelhřimov</w:t>
      </w:r>
      <w:r w:rsidRPr="00A45266">
        <w:rPr>
          <w:rFonts w:ascii="Cambria" w:hAnsi="Cambria"/>
          <w:b/>
          <w:sz w:val="28"/>
          <w:szCs w:val="28"/>
        </w:rPr>
        <w:t>“</w:t>
      </w:r>
    </w:p>
    <w:p w14:paraId="33D6D7FC" w14:textId="77777777" w:rsidR="004725E6" w:rsidRPr="00A45266" w:rsidRDefault="004725E6" w:rsidP="004725E6">
      <w:pPr>
        <w:rPr>
          <w:rFonts w:ascii="Cambria" w:hAnsi="Cambria" w:cs="Cambria"/>
          <w:b/>
          <w:bCs/>
          <w:snapToGrid w:val="0"/>
          <w:sz w:val="22"/>
        </w:rPr>
      </w:pPr>
    </w:p>
    <w:bookmarkEnd w:id="0"/>
    <w:p w14:paraId="5428B922"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Zadavatel určuje účastníkům speciální technické podmínky pro předmět veřejné zakázky.</w:t>
      </w:r>
    </w:p>
    <w:p w14:paraId="39533E58"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 xml:space="preserve">Zadavatel technickými podmínkami vymezuje charakteristiku poptávaného předmětu plnění, tj. </w:t>
      </w:r>
      <w:r w:rsidRPr="00A45266">
        <w:rPr>
          <w:rFonts w:ascii="Cambria" w:eastAsia="Cambria" w:hAnsi="Cambria" w:cs="Cambria"/>
          <w:b/>
          <w:sz w:val="22"/>
          <w:szCs w:val="22"/>
        </w:rPr>
        <w:t>minimální</w:t>
      </w:r>
      <w:r w:rsidRPr="00A45266">
        <w:rPr>
          <w:rFonts w:ascii="Cambria" w:eastAsia="Cambria" w:hAnsi="Cambria" w:cs="Cambria"/>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498B8C83" w14:textId="77777777" w:rsidR="009514F9" w:rsidRPr="00A45266" w:rsidRDefault="009514F9" w:rsidP="009514F9">
      <w:pPr>
        <w:jc w:val="both"/>
        <w:rPr>
          <w:rFonts w:ascii="Cambria" w:eastAsia="Cambria" w:hAnsi="Cambria" w:cs="Cambria"/>
          <w:sz w:val="22"/>
          <w:szCs w:val="22"/>
        </w:rPr>
      </w:pPr>
      <w:r w:rsidRPr="00A45266">
        <w:rPr>
          <w:rFonts w:ascii="Cambria" w:eastAsia="Cambria" w:hAnsi="Cambria" w:cs="Cambria"/>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099A4F91" w14:textId="77777777" w:rsidR="00AF5C0E" w:rsidRPr="00A45266" w:rsidRDefault="00AF5C0E" w:rsidP="006558AE">
      <w:pPr>
        <w:jc w:val="both"/>
        <w:rPr>
          <w:rFonts w:ascii="Cambria" w:hAnsi="Cambria"/>
          <w:sz w:val="22"/>
          <w:szCs w:val="22"/>
          <w:lang w:eastAsia="en-US"/>
        </w:rPr>
      </w:pPr>
    </w:p>
    <w:tbl>
      <w:tblPr>
        <w:tblW w:w="9046" w:type="dxa"/>
        <w:tblInd w:w="-7"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7"/>
        <w:gridCol w:w="3794"/>
        <w:gridCol w:w="1134"/>
        <w:gridCol w:w="992"/>
        <w:gridCol w:w="1701"/>
        <w:gridCol w:w="1418"/>
      </w:tblGrid>
      <w:tr w:rsidR="00B76C74" w:rsidRPr="00A940A8" w14:paraId="41B91899" w14:textId="77777777" w:rsidTr="00A940A8">
        <w:trPr>
          <w:gridBefore w:val="1"/>
          <w:wBefore w:w="7" w:type="dxa"/>
          <w:trHeight w:val="381"/>
        </w:trPr>
        <w:tc>
          <w:tcPr>
            <w:tcW w:w="3794" w:type="dxa"/>
            <w:tcBorders>
              <w:bottom w:val="single" w:sz="18" w:space="0" w:color="215868" w:themeColor="accent5" w:themeShade="80"/>
            </w:tcBorders>
            <w:shd w:val="clear" w:color="auto" w:fill="215868" w:themeFill="accent5" w:themeFillShade="80"/>
            <w:vAlign w:val="center"/>
          </w:tcPr>
          <w:p w14:paraId="7FEB1635" w14:textId="77777777" w:rsidR="00B76C74" w:rsidRPr="00A940A8" w:rsidRDefault="00B76C74" w:rsidP="006F4F57">
            <w:pPr>
              <w:jc w:val="center"/>
              <w:rPr>
                <w:rFonts w:ascii="Cambria" w:hAnsi="Cambria" w:cs="Calibri"/>
                <w:b/>
                <w:color w:val="FFFFFF" w:themeColor="background1"/>
                <w:sz w:val="22"/>
                <w:szCs w:val="22"/>
              </w:rPr>
            </w:pPr>
          </w:p>
          <w:p w14:paraId="78BFF9B8" w14:textId="77777777" w:rsidR="00B76C74" w:rsidRPr="00A940A8" w:rsidRDefault="00B76C74" w:rsidP="006F4F57">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Specifikace parametru</w:t>
            </w:r>
          </w:p>
          <w:p w14:paraId="77DBFB74" w14:textId="77777777" w:rsidR="00B76C74" w:rsidRPr="00A940A8" w:rsidRDefault="00B76C74" w:rsidP="006F4F57">
            <w:pPr>
              <w:jc w:val="center"/>
              <w:rPr>
                <w:rFonts w:ascii="Cambria" w:hAnsi="Cambria" w:cs="Calibri"/>
                <w:b/>
                <w:color w:val="FFFFFF" w:themeColor="background1"/>
                <w:sz w:val="22"/>
                <w:szCs w:val="22"/>
              </w:rPr>
            </w:pPr>
          </w:p>
        </w:tc>
        <w:tc>
          <w:tcPr>
            <w:tcW w:w="2126" w:type="dxa"/>
            <w:gridSpan w:val="2"/>
            <w:tcBorders>
              <w:bottom w:val="single" w:sz="18" w:space="0" w:color="215868" w:themeColor="accent5" w:themeShade="80"/>
            </w:tcBorders>
            <w:shd w:val="clear" w:color="auto" w:fill="215868" w:themeFill="accent5" w:themeFillShade="80"/>
            <w:vAlign w:val="center"/>
          </w:tcPr>
          <w:p w14:paraId="1BEC2016" w14:textId="379BD4F8" w:rsidR="00B76C74" w:rsidRPr="00A940A8" w:rsidRDefault="00B76C74" w:rsidP="00B76C74">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Požadovaná hodnota</w:t>
            </w:r>
          </w:p>
        </w:tc>
        <w:tc>
          <w:tcPr>
            <w:tcW w:w="1701" w:type="dxa"/>
            <w:tcBorders>
              <w:bottom w:val="single" w:sz="18" w:space="0" w:color="215868" w:themeColor="accent5" w:themeShade="80"/>
            </w:tcBorders>
            <w:shd w:val="clear" w:color="auto" w:fill="215868" w:themeFill="accent5" w:themeFillShade="80"/>
            <w:vAlign w:val="center"/>
          </w:tcPr>
          <w:p w14:paraId="42491C9C" w14:textId="7C9FDCF2" w:rsidR="00B76C74" w:rsidRPr="00A940A8" w:rsidRDefault="00B76C74" w:rsidP="006F4F57">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Splňuje</w:t>
            </w:r>
          </w:p>
        </w:tc>
        <w:tc>
          <w:tcPr>
            <w:tcW w:w="1418" w:type="dxa"/>
            <w:tcBorders>
              <w:bottom w:val="single" w:sz="18" w:space="0" w:color="215868" w:themeColor="accent5" w:themeShade="80"/>
            </w:tcBorders>
            <w:shd w:val="clear" w:color="auto" w:fill="215868" w:themeFill="accent5" w:themeFillShade="80"/>
            <w:vAlign w:val="center"/>
          </w:tcPr>
          <w:p w14:paraId="09DB6B89" w14:textId="77777777" w:rsidR="00B76C74" w:rsidRPr="00A940A8" w:rsidRDefault="00B76C74" w:rsidP="006F4F57">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Dodavatel nabízí</w:t>
            </w:r>
          </w:p>
        </w:tc>
      </w:tr>
      <w:tr w:rsidR="00B76C74" w:rsidRPr="00A940A8" w14:paraId="6E7E91BE" w14:textId="77777777" w:rsidTr="00B76C74">
        <w:trPr>
          <w:gridBefore w:val="1"/>
          <w:wBefore w:w="7" w:type="dxa"/>
          <w:trHeight w:val="517"/>
        </w:trPr>
        <w:tc>
          <w:tcPr>
            <w:tcW w:w="9039"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74F17767" w14:textId="4C979C52" w:rsidR="00B76C74" w:rsidRPr="00A940A8" w:rsidRDefault="00B76C74" w:rsidP="006F4F57">
            <w:pPr>
              <w:jc w:val="center"/>
              <w:rPr>
                <w:rFonts w:ascii="Cambria" w:hAnsi="Cambria" w:cs="Calibri"/>
                <w:b/>
                <w:bCs/>
                <w:i/>
                <w:color w:val="FFFFFF" w:themeColor="background1"/>
                <w:sz w:val="22"/>
                <w:szCs w:val="22"/>
              </w:rPr>
            </w:pPr>
            <w:r w:rsidRPr="00A940A8">
              <w:rPr>
                <w:rFonts w:ascii="Cambria" w:hAnsi="Cambria" w:cs="Calibri"/>
                <w:b/>
                <w:bCs/>
                <w:i/>
                <w:color w:val="FFFFFF" w:themeColor="background1"/>
                <w:sz w:val="22"/>
                <w:szCs w:val="22"/>
              </w:rPr>
              <w:t>Konstrukční parametry</w:t>
            </w:r>
          </w:p>
        </w:tc>
      </w:tr>
      <w:tr w:rsidR="00B76C74" w:rsidRPr="00A940A8" w14:paraId="2A52D095" w14:textId="77777777" w:rsidTr="00A940A8">
        <w:trPr>
          <w:gridBefore w:val="1"/>
          <w:wBefore w:w="7" w:type="dxa"/>
          <w:trHeight w:val="517"/>
        </w:trPr>
        <w:tc>
          <w:tcPr>
            <w:tcW w:w="3794" w:type="dxa"/>
            <w:tcBorders>
              <w:top w:val="single" w:sz="18" w:space="0" w:color="215868" w:themeColor="accent5" w:themeShade="80"/>
            </w:tcBorders>
            <w:vAlign w:val="center"/>
          </w:tcPr>
          <w:p w14:paraId="08AA1273" w14:textId="63683AF7"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 xml:space="preserve">funkce konstantního světelného </w:t>
            </w:r>
            <w:proofErr w:type="gramStart"/>
            <w:r w:rsidRPr="00A940A8">
              <w:rPr>
                <w:rFonts w:ascii="Cambria" w:hAnsi="Cambria" w:cs="Arial"/>
                <w:sz w:val="20"/>
                <w:szCs w:val="20"/>
              </w:rPr>
              <w:t>toku - CLO</w:t>
            </w:r>
            <w:proofErr w:type="gramEnd"/>
          </w:p>
        </w:tc>
        <w:tc>
          <w:tcPr>
            <w:tcW w:w="1134" w:type="dxa"/>
            <w:tcBorders>
              <w:top w:val="single" w:sz="18" w:space="0" w:color="215868" w:themeColor="accent5" w:themeShade="80"/>
            </w:tcBorders>
            <w:vAlign w:val="center"/>
          </w:tcPr>
          <w:p w14:paraId="7F9272F5" w14:textId="718C1E9E"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ANO / NE</w:t>
            </w:r>
          </w:p>
        </w:tc>
        <w:tc>
          <w:tcPr>
            <w:tcW w:w="992" w:type="dxa"/>
            <w:tcBorders>
              <w:top w:val="single" w:sz="18" w:space="0" w:color="215868" w:themeColor="accent5" w:themeShade="80"/>
            </w:tcBorders>
            <w:vAlign w:val="center"/>
          </w:tcPr>
          <w:p w14:paraId="4F1BF081" w14:textId="3690703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tcBorders>
              <w:top w:val="single" w:sz="18" w:space="0" w:color="215868" w:themeColor="accent5" w:themeShade="80"/>
            </w:tcBorders>
            <w:vAlign w:val="center"/>
          </w:tcPr>
          <w:p w14:paraId="30510F26" w14:textId="2496FAB0"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bookmarkStart w:id="1" w:name="Zaškrtávací5"/>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bookmarkEnd w:id="1"/>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bookmarkStart w:id="2" w:name="Zaškrtávací6"/>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bookmarkEnd w:id="2"/>
          </w:p>
        </w:tc>
        <w:tc>
          <w:tcPr>
            <w:tcW w:w="1418" w:type="dxa"/>
            <w:tcBorders>
              <w:top w:val="single" w:sz="18" w:space="0" w:color="215868" w:themeColor="accent5" w:themeShade="80"/>
            </w:tcBorders>
            <w:vAlign w:val="center"/>
          </w:tcPr>
          <w:p w14:paraId="30BEFF3F"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DBEF798" w14:textId="77777777" w:rsidTr="00A940A8">
        <w:trPr>
          <w:gridBefore w:val="1"/>
          <w:wBefore w:w="7" w:type="dxa"/>
          <w:trHeight w:val="517"/>
        </w:trPr>
        <w:tc>
          <w:tcPr>
            <w:tcW w:w="3794" w:type="dxa"/>
            <w:vAlign w:val="center"/>
          </w:tcPr>
          <w:p w14:paraId="46189C8D" w14:textId="30AB0BAB"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teplota chromatičnosti 2 700 K</w:t>
            </w:r>
          </w:p>
        </w:tc>
        <w:tc>
          <w:tcPr>
            <w:tcW w:w="1134" w:type="dxa"/>
            <w:vAlign w:val="center"/>
          </w:tcPr>
          <w:p w14:paraId="393A9E72" w14:textId="277F8883"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CCT (K)</w:t>
            </w:r>
          </w:p>
        </w:tc>
        <w:tc>
          <w:tcPr>
            <w:tcW w:w="992" w:type="dxa"/>
            <w:vAlign w:val="center"/>
          </w:tcPr>
          <w:p w14:paraId="07E626EC" w14:textId="5E2DC4D2" w:rsidR="00B76C74" w:rsidRPr="00A940A8" w:rsidRDefault="00B76C74" w:rsidP="00B76C74">
            <w:pPr>
              <w:jc w:val="center"/>
              <w:rPr>
                <w:rFonts w:ascii="Cambria" w:hAnsi="Cambria"/>
                <w:sz w:val="20"/>
                <w:szCs w:val="20"/>
              </w:rPr>
            </w:pPr>
            <w:r w:rsidRPr="00A940A8">
              <w:rPr>
                <w:rFonts w:ascii="Cambria" w:hAnsi="Cambria" w:cs="Arial CE"/>
                <w:sz w:val="20"/>
                <w:szCs w:val="20"/>
              </w:rPr>
              <w:t>2 700</w:t>
            </w:r>
          </w:p>
        </w:tc>
        <w:tc>
          <w:tcPr>
            <w:tcW w:w="1701" w:type="dxa"/>
            <w:vAlign w:val="center"/>
          </w:tcPr>
          <w:p w14:paraId="18DD515C" w14:textId="7DE65209"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D86F702"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0259091D" w14:textId="77777777" w:rsidTr="00A940A8">
        <w:trPr>
          <w:gridBefore w:val="1"/>
          <w:wBefore w:w="7" w:type="dxa"/>
          <w:trHeight w:val="517"/>
        </w:trPr>
        <w:tc>
          <w:tcPr>
            <w:tcW w:w="3794" w:type="dxa"/>
            <w:vAlign w:val="center"/>
          </w:tcPr>
          <w:p w14:paraId="622D6366" w14:textId="411D09C2" w:rsidR="00B76C74" w:rsidRPr="00A940A8" w:rsidRDefault="00B76C74" w:rsidP="00B76C74">
            <w:pPr>
              <w:jc w:val="both"/>
              <w:rPr>
                <w:rFonts w:ascii="Cambria" w:hAnsi="Cambria" w:cs="Calibri"/>
                <w:sz w:val="20"/>
                <w:szCs w:val="20"/>
              </w:rPr>
            </w:pPr>
            <w:r w:rsidRPr="00A940A8">
              <w:rPr>
                <w:rFonts w:ascii="Cambria" w:hAnsi="Cambria" w:cs="Arial"/>
                <w:sz w:val="20"/>
                <w:szCs w:val="20"/>
              </w:rPr>
              <w:t>svítidlo stejného designu je v provedení s teplotou chromatičnosti světla v rozmezí 2200 K až 4000 K</w:t>
            </w:r>
            <w:r w:rsidR="00040A66" w:rsidRPr="00A940A8">
              <w:rPr>
                <w:rFonts w:ascii="Cambria" w:hAnsi="Cambria" w:cs="Arial"/>
                <w:sz w:val="20"/>
                <w:szCs w:val="20"/>
              </w:rPr>
              <w:t>,</w:t>
            </w:r>
            <w:r w:rsidR="00040A66" w:rsidRPr="00A940A8">
              <w:rPr>
                <w:rFonts w:ascii="Cambria" w:hAnsi="Cambria" w:cs="Arial"/>
                <w:color w:val="FF0000"/>
                <w:sz w:val="20"/>
                <w:szCs w:val="20"/>
              </w:rPr>
              <w:t xml:space="preserve"> </w:t>
            </w:r>
            <w:r w:rsidR="00040A66" w:rsidRPr="00A940A8">
              <w:rPr>
                <w:rFonts w:ascii="Cambria" w:hAnsi="Cambria" w:cs="Arial"/>
                <w:sz w:val="20"/>
                <w:szCs w:val="20"/>
              </w:rPr>
              <w:t>včetně krajních mezí</w:t>
            </w:r>
          </w:p>
        </w:tc>
        <w:tc>
          <w:tcPr>
            <w:tcW w:w="1134" w:type="dxa"/>
            <w:vAlign w:val="center"/>
          </w:tcPr>
          <w:p w14:paraId="024B3074" w14:textId="62A4DFD5" w:rsidR="00B76C74" w:rsidRPr="00A940A8" w:rsidRDefault="00B76C74" w:rsidP="00B76C74">
            <w:pPr>
              <w:jc w:val="center"/>
              <w:rPr>
                <w:rFonts w:ascii="Cambria" w:hAnsi="Cambria" w:cs="Calibri"/>
                <w:sz w:val="20"/>
                <w:szCs w:val="20"/>
              </w:rPr>
            </w:pPr>
            <w:r w:rsidRPr="00A940A8">
              <w:rPr>
                <w:rFonts w:ascii="Cambria" w:hAnsi="Cambria"/>
                <w:sz w:val="20"/>
                <w:szCs w:val="20"/>
              </w:rPr>
              <w:t>ANO / NE</w:t>
            </w:r>
          </w:p>
        </w:tc>
        <w:tc>
          <w:tcPr>
            <w:tcW w:w="992" w:type="dxa"/>
            <w:vAlign w:val="center"/>
          </w:tcPr>
          <w:p w14:paraId="16A7A2B9" w14:textId="1CE49A23"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98E70F0" w14:textId="236FE4C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88F73C5"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F09AF4D" w14:textId="77777777" w:rsidTr="00A940A8">
        <w:trPr>
          <w:gridBefore w:val="1"/>
          <w:wBefore w:w="7" w:type="dxa"/>
          <w:trHeight w:val="517"/>
        </w:trPr>
        <w:tc>
          <w:tcPr>
            <w:tcW w:w="3794" w:type="dxa"/>
            <w:vAlign w:val="center"/>
          </w:tcPr>
          <w:p w14:paraId="2CBF4805" w14:textId="5FFC8D81"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index podání barev</w:t>
            </w:r>
          </w:p>
        </w:tc>
        <w:tc>
          <w:tcPr>
            <w:tcW w:w="1134" w:type="dxa"/>
            <w:vAlign w:val="center"/>
          </w:tcPr>
          <w:p w14:paraId="413AC149" w14:textId="0AA69E93" w:rsidR="00B76C74" w:rsidRPr="00A940A8" w:rsidRDefault="00B76C74" w:rsidP="00B76C74">
            <w:pPr>
              <w:jc w:val="center"/>
              <w:rPr>
                <w:rFonts w:ascii="Cambria" w:hAnsi="Cambria" w:cs="Calibri"/>
                <w:sz w:val="20"/>
                <w:szCs w:val="20"/>
              </w:rPr>
            </w:pPr>
            <w:r w:rsidRPr="00A940A8">
              <w:rPr>
                <w:rFonts w:ascii="Cambria" w:hAnsi="Cambria"/>
                <w:sz w:val="20"/>
                <w:szCs w:val="20"/>
              </w:rPr>
              <w:t>CRI (</w:t>
            </w:r>
            <w:proofErr w:type="spellStart"/>
            <w:r w:rsidRPr="00A940A8">
              <w:rPr>
                <w:rFonts w:ascii="Cambria" w:hAnsi="Cambria"/>
                <w:sz w:val="20"/>
                <w:szCs w:val="20"/>
              </w:rPr>
              <w:t>Ra</w:t>
            </w:r>
            <w:proofErr w:type="spellEnd"/>
            <w:r w:rsidRPr="00A940A8">
              <w:rPr>
                <w:rFonts w:ascii="Cambria" w:hAnsi="Cambria"/>
                <w:sz w:val="20"/>
                <w:szCs w:val="20"/>
              </w:rPr>
              <w:t>)</w:t>
            </w:r>
          </w:p>
        </w:tc>
        <w:tc>
          <w:tcPr>
            <w:tcW w:w="992" w:type="dxa"/>
            <w:vAlign w:val="center"/>
          </w:tcPr>
          <w:p w14:paraId="634FF6A8" w14:textId="08F9EF22" w:rsidR="00B76C74" w:rsidRPr="00A940A8" w:rsidRDefault="00B76C74" w:rsidP="00B76C74">
            <w:pPr>
              <w:jc w:val="center"/>
              <w:rPr>
                <w:rFonts w:ascii="Cambria" w:hAnsi="Cambria"/>
                <w:sz w:val="20"/>
                <w:szCs w:val="20"/>
              </w:rPr>
            </w:pPr>
            <w:r w:rsidRPr="00A940A8">
              <w:rPr>
                <w:rFonts w:ascii="Cambria" w:hAnsi="Cambria" w:cs="Calibri"/>
                <w:sz w:val="20"/>
                <w:szCs w:val="20"/>
              </w:rPr>
              <w:t>≥</w:t>
            </w:r>
            <w:r w:rsidRPr="00A940A8">
              <w:rPr>
                <w:rFonts w:ascii="Cambria" w:hAnsi="Cambria" w:cs="Arial CE"/>
                <w:sz w:val="20"/>
                <w:szCs w:val="20"/>
              </w:rPr>
              <w:t xml:space="preserve"> 70</w:t>
            </w:r>
          </w:p>
        </w:tc>
        <w:tc>
          <w:tcPr>
            <w:tcW w:w="1701" w:type="dxa"/>
            <w:vAlign w:val="center"/>
          </w:tcPr>
          <w:p w14:paraId="0615D35B" w14:textId="381A482F"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E5A08A1"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CC8317C" w14:textId="77777777" w:rsidTr="00A940A8">
        <w:trPr>
          <w:gridBefore w:val="1"/>
          <w:wBefore w:w="7" w:type="dxa"/>
          <w:trHeight w:val="517"/>
        </w:trPr>
        <w:tc>
          <w:tcPr>
            <w:tcW w:w="3794" w:type="dxa"/>
            <w:vAlign w:val="center"/>
          </w:tcPr>
          <w:p w14:paraId="2196FA43" w14:textId="76CD757C"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podíl světelného toku do horního poloprostoru při sklonu svítidla 0°</w:t>
            </w:r>
          </w:p>
        </w:tc>
        <w:tc>
          <w:tcPr>
            <w:tcW w:w="1134" w:type="dxa"/>
            <w:vAlign w:val="center"/>
          </w:tcPr>
          <w:p w14:paraId="380B9549" w14:textId="0DAB9603"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 xml:space="preserve">URL (%) </w:t>
            </w:r>
          </w:p>
        </w:tc>
        <w:tc>
          <w:tcPr>
            <w:tcW w:w="992" w:type="dxa"/>
            <w:vAlign w:val="center"/>
          </w:tcPr>
          <w:p w14:paraId="2E1C9913" w14:textId="351E2AB2" w:rsidR="00B76C74" w:rsidRPr="00A940A8" w:rsidRDefault="00B76C74" w:rsidP="00B76C74">
            <w:pPr>
              <w:jc w:val="center"/>
              <w:rPr>
                <w:rFonts w:ascii="Cambria" w:hAnsi="Cambria"/>
                <w:sz w:val="20"/>
                <w:szCs w:val="20"/>
              </w:rPr>
            </w:pPr>
            <w:r w:rsidRPr="00A940A8">
              <w:rPr>
                <w:rFonts w:ascii="Cambria" w:hAnsi="Cambria" w:cs="Arial CE"/>
                <w:sz w:val="20"/>
                <w:szCs w:val="20"/>
              </w:rPr>
              <w:t>0</w:t>
            </w:r>
            <w:r w:rsidR="009550FE">
              <w:rPr>
                <w:rFonts w:ascii="Cambria" w:hAnsi="Cambria" w:cs="Arial CE"/>
                <w:sz w:val="20"/>
                <w:szCs w:val="20"/>
              </w:rPr>
              <w:t xml:space="preserve"> </w:t>
            </w:r>
            <w:r w:rsidRPr="00A940A8">
              <w:rPr>
                <w:rFonts w:ascii="Cambria" w:hAnsi="Cambria" w:cs="Arial CE"/>
                <w:sz w:val="20"/>
                <w:szCs w:val="20"/>
              </w:rPr>
              <w:t>%</w:t>
            </w:r>
          </w:p>
        </w:tc>
        <w:tc>
          <w:tcPr>
            <w:tcW w:w="1701" w:type="dxa"/>
            <w:vAlign w:val="center"/>
          </w:tcPr>
          <w:p w14:paraId="2F6AED28" w14:textId="0DB68518"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3418F6FE"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FCF161C" w14:textId="77777777" w:rsidTr="00A940A8">
        <w:trPr>
          <w:gridBefore w:val="1"/>
          <w:wBefore w:w="7" w:type="dxa"/>
          <w:trHeight w:val="517"/>
        </w:trPr>
        <w:tc>
          <w:tcPr>
            <w:tcW w:w="3794" w:type="dxa"/>
            <w:vAlign w:val="center"/>
          </w:tcPr>
          <w:p w14:paraId="671F3943" w14:textId="43211E44" w:rsidR="00B76C74" w:rsidRPr="00A940A8" w:rsidRDefault="00B76C74" w:rsidP="00B76C74">
            <w:pPr>
              <w:rPr>
                <w:rFonts w:ascii="Cambria" w:hAnsi="Cambria" w:cs="Calibri"/>
                <w:color w:val="000000"/>
                <w:sz w:val="20"/>
                <w:szCs w:val="20"/>
              </w:rPr>
            </w:pPr>
            <w:r w:rsidRPr="00A940A8">
              <w:rPr>
                <w:rFonts w:ascii="Cambria" w:hAnsi="Cambria" w:cs="Arial"/>
                <w:sz w:val="20"/>
                <w:szCs w:val="20"/>
              </w:rPr>
              <w:t>počáteční měrný výkon svítidla</w:t>
            </w:r>
          </w:p>
        </w:tc>
        <w:tc>
          <w:tcPr>
            <w:tcW w:w="1134" w:type="dxa"/>
            <w:vAlign w:val="center"/>
          </w:tcPr>
          <w:p w14:paraId="33E4A9AA" w14:textId="126E9305"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 xml:space="preserve">h </w:t>
            </w:r>
            <w:proofErr w:type="spellStart"/>
            <w:proofErr w:type="gramStart"/>
            <w:r w:rsidRPr="00A940A8">
              <w:rPr>
                <w:rFonts w:ascii="Cambria" w:hAnsi="Cambria"/>
                <w:sz w:val="20"/>
                <w:szCs w:val="20"/>
              </w:rPr>
              <w:t>sv,o</w:t>
            </w:r>
            <w:proofErr w:type="spellEnd"/>
            <w:proofErr w:type="gramEnd"/>
            <w:r w:rsidRPr="00A940A8">
              <w:rPr>
                <w:rFonts w:ascii="Cambria" w:hAnsi="Cambria"/>
                <w:sz w:val="20"/>
                <w:szCs w:val="20"/>
              </w:rPr>
              <w:t xml:space="preserve"> ( </w:t>
            </w:r>
            <w:proofErr w:type="spellStart"/>
            <w:r w:rsidRPr="00A940A8">
              <w:rPr>
                <w:rFonts w:ascii="Cambria" w:hAnsi="Cambria"/>
                <w:sz w:val="20"/>
                <w:szCs w:val="20"/>
              </w:rPr>
              <w:t>lm</w:t>
            </w:r>
            <w:proofErr w:type="spellEnd"/>
            <w:r w:rsidRPr="00A940A8">
              <w:rPr>
                <w:rFonts w:ascii="Cambria" w:hAnsi="Cambria"/>
                <w:sz w:val="20"/>
                <w:szCs w:val="20"/>
              </w:rPr>
              <w:t>/W)</w:t>
            </w:r>
          </w:p>
        </w:tc>
        <w:tc>
          <w:tcPr>
            <w:tcW w:w="992" w:type="dxa"/>
            <w:vAlign w:val="center"/>
          </w:tcPr>
          <w:p w14:paraId="3B872325" w14:textId="79384861" w:rsidR="00B76C74" w:rsidRPr="00A940A8" w:rsidRDefault="00B76C74" w:rsidP="00B76C74">
            <w:pPr>
              <w:jc w:val="center"/>
              <w:rPr>
                <w:rFonts w:ascii="Cambria" w:hAnsi="Cambria"/>
                <w:sz w:val="20"/>
                <w:szCs w:val="20"/>
              </w:rPr>
            </w:pPr>
            <w:r w:rsidRPr="00A940A8">
              <w:rPr>
                <w:rFonts w:ascii="Cambria" w:hAnsi="Cambria" w:cs="Arial CE"/>
                <w:sz w:val="20"/>
                <w:szCs w:val="20"/>
              </w:rPr>
              <w:t>min. 120</w:t>
            </w:r>
          </w:p>
        </w:tc>
        <w:tc>
          <w:tcPr>
            <w:tcW w:w="1701" w:type="dxa"/>
            <w:vAlign w:val="center"/>
          </w:tcPr>
          <w:p w14:paraId="664DAEEE" w14:textId="1A293FF4"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D3CC7F0"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4E165E1" w14:textId="77777777" w:rsidTr="00A940A8">
        <w:trPr>
          <w:gridBefore w:val="1"/>
          <w:wBefore w:w="7" w:type="dxa"/>
          <w:trHeight w:val="517"/>
        </w:trPr>
        <w:tc>
          <w:tcPr>
            <w:tcW w:w="3794" w:type="dxa"/>
            <w:vAlign w:val="center"/>
          </w:tcPr>
          <w:p w14:paraId="368FF46F" w14:textId="6892F93B"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třída </w:t>
            </w:r>
            <w:proofErr w:type="gramStart"/>
            <w:r w:rsidRPr="00A940A8">
              <w:rPr>
                <w:rFonts w:ascii="Cambria" w:hAnsi="Cambria" w:cs="Arial"/>
                <w:sz w:val="20"/>
                <w:szCs w:val="20"/>
              </w:rPr>
              <w:t>ochrany - pro</w:t>
            </w:r>
            <w:proofErr w:type="gramEnd"/>
            <w:r w:rsidRPr="00A940A8">
              <w:rPr>
                <w:rFonts w:ascii="Cambria" w:hAnsi="Cambria" w:cs="Arial"/>
                <w:sz w:val="20"/>
                <w:szCs w:val="20"/>
              </w:rPr>
              <w:t xml:space="preserve"> bezproblémové použití ve všech elektrických instalacích musí být ve variantě třídy II s vyrovnáním potenciálu pro betonové/plastové/dřevěné sloupy</w:t>
            </w:r>
          </w:p>
        </w:tc>
        <w:tc>
          <w:tcPr>
            <w:tcW w:w="1134" w:type="dxa"/>
            <w:vAlign w:val="center"/>
          </w:tcPr>
          <w:p w14:paraId="4BA10C02" w14:textId="370ADBCB" w:rsidR="00B76C74" w:rsidRPr="00A940A8" w:rsidRDefault="00B76C74" w:rsidP="00B76C74">
            <w:pPr>
              <w:jc w:val="center"/>
              <w:rPr>
                <w:rFonts w:ascii="Cambria" w:hAnsi="Cambria"/>
                <w:color w:val="000000"/>
                <w:sz w:val="20"/>
                <w:szCs w:val="20"/>
              </w:rPr>
            </w:pPr>
            <w:r w:rsidRPr="00A940A8">
              <w:rPr>
                <w:rFonts w:ascii="Cambria" w:hAnsi="Cambria"/>
                <w:sz w:val="20"/>
                <w:szCs w:val="20"/>
              </w:rPr>
              <w:t>CL</w:t>
            </w:r>
          </w:p>
        </w:tc>
        <w:tc>
          <w:tcPr>
            <w:tcW w:w="992" w:type="dxa"/>
            <w:vAlign w:val="center"/>
          </w:tcPr>
          <w:p w14:paraId="4BA17D39" w14:textId="7F3DB63C" w:rsidR="00B76C74" w:rsidRPr="00A940A8" w:rsidRDefault="00B76C74" w:rsidP="00B76C74">
            <w:pPr>
              <w:jc w:val="center"/>
              <w:rPr>
                <w:rFonts w:ascii="Cambria" w:hAnsi="Cambria"/>
                <w:sz w:val="20"/>
                <w:szCs w:val="20"/>
              </w:rPr>
            </w:pPr>
            <w:r w:rsidRPr="00A940A8">
              <w:rPr>
                <w:rFonts w:ascii="Cambria" w:hAnsi="Cambria" w:cs="Arial CE"/>
                <w:sz w:val="20"/>
                <w:szCs w:val="20"/>
              </w:rPr>
              <w:t>II</w:t>
            </w:r>
          </w:p>
        </w:tc>
        <w:tc>
          <w:tcPr>
            <w:tcW w:w="1701" w:type="dxa"/>
            <w:vAlign w:val="center"/>
          </w:tcPr>
          <w:p w14:paraId="7C567FB7" w14:textId="44BD0155"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D6E8B44" w14:textId="21E8EF60"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C7FF73A" w14:textId="77777777" w:rsidTr="00A940A8">
        <w:trPr>
          <w:gridBefore w:val="1"/>
          <w:wBefore w:w="7" w:type="dxa"/>
          <w:trHeight w:val="517"/>
        </w:trPr>
        <w:tc>
          <w:tcPr>
            <w:tcW w:w="3794" w:type="dxa"/>
            <w:vAlign w:val="center"/>
          </w:tcPr>
          <w:p w14:paraId="460E28BA" w14:textId="6970472A"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lastRenderedPageBreak/>
              <w:t>vybavení pro vyrovnání potenciálu v případě instalace na betonové/plastové/dřevěné stožáry</w:t>
            </w:r>
          </w:p>
        </w:tc>
        <w:tc>
          <w:tcPr>
            <w:tcW w:w="1134" w:type="dxa"/>
            <w:vAlign w:val="center"/>
          </w:tcPr>
          <w:p w14:paraId="283D460F" w14:textId="369EBE55"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ANO / NE</w:t>
            </w:r>
          </w:p>
        </w:tc>
        <w:tc>
          <w:tcPr>
            <w:tcW w:w="992" w:type="dxa"/>
            <w:vAlign w:val="center"/>
          </w:tcPr>
          <w:p w14:paraId="7DDBB9A1" w14:textId="7D850584"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51B562CC" w14:textId="0D4DD471"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369C128A"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46C226ED" w14:textId="77777777" w:rsidTr="00A940A8">
        <w:trPr>
          <w:gridBefore w:val="1"/>
          <w:wBefore w:w="7" w:type="dxa"/>
          <w:trHeight w:val="517"/>
        </w:trPr>
        <w:tc>
          <w:tcPr>
            <w:tcW w:w="3794" w:type="dxa"/>
            <w:vAlign w:val="center"/>
          </w:tcPr>
          <w:p w14:paraId="743C1D4C" w14:textId="13670455"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ochrana proti přepětí</w:t>
            </w:r>
          </w:p>
        </w:tc>
        <w:tc>
          <w:tcPr>
            <w:tcW w:w="1134" w:type="dxa"/>
            <w:vAlign w:val="center"/>
          </w:tcPr>
          <w:p w14:paraId="413CD369" w14:textId="02F89694"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 xml:space="preserve">U ov </w:t>
            </w:r>
            <w:proofErr w:type="gramStart"/>
            <w:r w:rsidRPr="00A940A8">
              <w:rPr>
                <w:rFonts w:ascii="Cambria" w:hAnsi="Cambria"/>
                <w:sz w:val="20"/>
                <w:szCs w:val="20"/>
              </w:rPr>
              <w:t xml:space="preserve">( </w:t>
            </w:r>
            <w:proofErr w:type="spellStart"/>
            <w:r w:rsidRPr="00A940A8">
              <w:rPr>
                <w:rFonts w:ascii="Cambria" w:hAnsi="Cambria"/>
                <w:sz w:val="20"/>
                <w:szCs w:val="20"/>
              </w:rPr>
              <w:t>Kv</w:t>
            </w:r>
            <w:proofErr w:type="spellEnd"/>
            <w:proofErr w:type="gramEnd"/>
            <w:r w:rsidRPr="00A940A8">
              <w:rPr>
                <w:rFonts w:ascii="Cambria" w:hAnsi="Cambria"/>
                <w:sz w:val="20"/>
                <w:szCs w:val="20"/>
              </w:rPr>
              <w:t>)</w:t>
            </w:r>
          </w:p>
        </w:tc>
        <w:tc>
          <w:tcPr>
            <w:tcW w:w="992" w:type="dxa"/>
            <w:vAlign w:val="center"/>
          </w:tcPr>
          <w:p w14:paraId="0B187211" w14:textId="7331A48B" w:rsidR="00B76C74" w:rsidRPr="00A940A8" w:rsidRDefault="00B76C74" w:rsidP="00B76C74">
            <w:pPr>
              <w:jc w:val="center"/>
              <w:rPr>
                <w:rFonts w:ascii="Cambria" w:hAnsi="Cambria"/>
                <w:sz w:val="20"/>
                <w:szCs w:val="20"/>
              </w:rPr>
            </w:pPr>
            <w:r w:rsidRPr="00A940A8">
              <w:rPr>
                <w:rFonts w:ascii="Cambria" w:hAnsi="Cambria" w:cs="Arial CE"/>
                <w:sz w:val="20"/>
                <w:szCs w:val="20"/>
              </w:rPr>
              <w:t>6/10</w:t>
            </w:r>
          </w:p>
        </w:tc>
        <w:tc>
          <w:tcPr>
            <w:tcW w:w="1701" w:type="dxa"/>
            <w:vAlign w:val="center"/>
          </w:tcPr>
          <w:p w14:paraId="55874513" w14:textId="716D59BC"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171D340"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E76E5C6" w14:textId="77777777" w:rsidTr="00A940A8">
        <w:trPr>
          <w:gridBefore w:val="1"/>
          <w:wBefore w:w="7" w:type="dxa"/>
          <w:trHeight w:val="517"/>
        </w:trPr>
        <w:tc>
          <w:tcPr>
            <w:tcW w:w="3794" w:type="dxa"/>
            <w:vAlign w:val="center"/>
          </w:tcPr>
          <w:p w14:paraId="215C226C" w14:textId="721DDDD5" w:rsidR="00B76C74" w:rsidRPr="00A940A8" w:rsidRDefault="00B76C74" w:rsidP="00B76C74">
            <w:pPr>
              <w:jc w:val="both"/>
              <w:rPr>
                <w:rFonts w:ascii="Cambria" w:hAnsi="Cambria" w:cs="Calibri"/>
                <w:sz w:val="20"/>
                <w:szCs w:val="20"/>
              </w:rPr>
            </w:pPr>
            <w:r w:rsidRPr="00A940A8">
              <w:rPr>
                <w:rFonts w:ascii="Cambria" w:hAnsi="Cambria" w:cs="Arial"/>
                <w:sz w:val="20"/>
                <w:szCs w:val="20"/>
              </w:rPr>
              <w:t>ochrana proti přehřátí svítidla s termočlánkem v LED modulu</w:t>
            </w:r>
          </w:p>
        </w:tc>
        <w:tc>
          <w:tcPr>
            <w:tcW w:w="1134" w:type="dxa"/>
            <w:vAlign w:val="center"/>
          </w:tcPr>
          <w:p w14:paraId="66A15848" w14:textId="15B55B20" w:rsidR="00B76C74" w:rsidRPr="00A940A8" w:rsidRDefault="00B76C74" w:rsidP="00B76C74">
            <w:pPr>
              <w:jc w:val="center"/>
              <w:rPr>
                <w:rFonts w:ascii="Cambria" w:hAnsi="Cambria" w:cs="Calibri"/>
                <w:sz w:val="20"/>
                <w:szCs w:val="20"/>
              </w:rPr>
            </w:pPr>
            <w:r w:rsidRPr="00A940A8">
              <w:rPr>
                <w:rFonts w:ascii="Cambria" w:hAnsi="Cambria"/>
                <w:sz w:val="20"/>
                <w:szCs w:val="20"/>
              </w:rPr>
              <w:t>ANO / NE</w:t>
            </w:r>
          </w:p>
        </w:tc>
        <w:tc>
          <w:tcPr>
            <w:tcW w:w="992" w:type="dxa"/>
            <w:vAlign w:val="center"/>
          </w:tcPr>
          <w:p w14:paraId="058764C6" w14:textId="5282519F"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56C4B432" w14:textId="43DCB7E3"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5341CD89"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F7BD87D" w14:textId="77777777" w:rsidTr="00A940A8">
        <w:trPr>
          <w:gridBefore w:val="1"/>
          <w:wBefore w:w="7" w:type="dxa"/>
          <w:trHeight w:val="517"/>
        </w:trPr>
        <w:tc>
          <w:tcPr>
            <w:tcW w:w="3794" w:type="dxa"/>
            <w:vAlign w:val="center"/>
          </w:tcPr>
          <w:p w14:paraId="5259B113" w14:textId="7ED433FA"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možnost výměny LED modulu a předřadníku na místě bez potřeby ESD upraveného pracoviště</w:t>
            </w:r>
          </w:p>
        </w:tc>
        <w:tc>
          <w:tcPr>
            <w:tcW w:w="1134" w:type="dxa"/>
            <w:vAlign w:val="center"/>
          </w:tcPr>
          <w:p w14:paraId="55EAFF11" w14:textId="6975864F"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ANO / NE</w:t>
            </w:r>
          </w:p>
        </w:tc>
        <w:tc>
          <w:tcPr>
            <w:tcW w:w="992" w:type="dxa"/>
            <w:vAlign w:val="center"/>
          </w:tcPr>
          <w:p w14:paraId="294F8A64" w14:textId="6C82149B"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3480EDC" w14:textId="3631A339"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6E6EE609"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508B991" w14:textId="77777777" w:rsidTr="00A940A8">
        <w:trPr>
          <w:gridBefore w:val="1"/>
          <w:wBefore w:w="7" w:type="dxa"/>
          <w:trHeight w:val="517"/>
        </w:trPr>
        <w:tc>
          <w:tcPr>
            <w:tcW w:w="3794" w:type="dxa"/>
            <w:vAlign w:val="center"/>
          </w:tcPr>
          <w:p w14:paraId="3D2CF892" w14:textId="2DDB0AE9"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 xml:space="preserve">krytí svítidla v prostoru optické části i v prostoru </w:t>
            </w:r>
            <w:proofErr w:type="spellStart"/>
            <w:r w:rsidRPr="00A940A8">
              <w:rPr>
                <w:rFonts w:ascii="Cambria" w:hAnsi="Cambria" w:cs="Arial"/>
                <w:sz w:val="20"/>
                <w:szCs w:val="20"/>
              </w:rPr>
              <w:t>elektrovýzbroje</w:t>
            </w:r>
            <w:proofErr w:type="spellEnd"/>
          </w:p>
        </w:tc>
        <w:tc>
          <w:tcPr>
            <w:tcW w:w="1134" w:type="dxa"/>
            <w:vAlign w:val="center"/>
          </w:tcPr>
          <w:p w14:paraId="0148C59F" w14:textId="5CAE7192"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IP</w:t>
            </w:r>
          </w:p>
        </w:tc>
        <w:tc>
          <w:tcPr>
            <w:tcW w:w="992" w:type="dxa"/>
            <w:vAlign w:val="center"/>
          </w:tcPr>
          <w:p w14:paraId="2FA350D6" w14:textId="555D61F6" w:rsidR="00B76C74" w:rsidRPr="00A940A8" w:rsidRDefault="00B76C74" w:rsidP="00B76C74">
            <w:pPr>
              <w:jc w:val="center"/>
              <w:rPr>
                <w:rFonts w:ascii="Cambria" w:hAnsi="Cambria"/>
                <w:sz w:val="20"/>
                <w:szCs w:val="20"/>
              </w:rPr>
            </w:pPr>
            <w:r w:rsidRPr="00A940A8">
              <w:rPr>
                <w:rFonts w:ascii="Cambria" w:hAnsi="Cambria" w:cs="Arial CE"/>
                <w:sz w:val="20"/>
                <w:szCs w:val="20"/>
              </w:rPr>
              <w:t>66</w:t>
            </w:r>
          </w:p>
        </w:tc>
        <w:tc>
          <w:tcPr>
            <w:tcW w:w="1701" w:type="dxa"/>
            <w:vAlign w:val="center"/>
          </w:tcPr>
          <w:p w14:paraId="5FD20A4D" w14:textId="6B7CD925"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7E205E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AE15666" w14:textId="77777777" w:rsidTr="00A940A8">
        <w:trPr>
          <w:gridBefore w:val="1"/>
          <w:wBefore w:w="7" w:type="dxa"/>
          <w:trHeight w:val="517"/>
        </w:trPr>
        <w:tc>
          <w:tcPr>
            <w:tcW w:w="3794" w:type="dxa"/>
            <w:vAlign w:val="center"/>
          </w:tcPr>
          <w:p w14:paraId="4AC3E34A" w14:textId="473E67AF" w:rsidR="00B76C74" w:rsidRPr="00A940A8" w:rsidRDefault="00B76C74" w:rsidP="00B76C74">
            <w:pPr>
              <w:jc w:val="both"/>
              <w:rPr>
                <w:rFonts w:ascii="Cambria" w:hAnsi="Cambria" w:cs="Calibri"/>
                <w:sz w:val="20"/>
                <w:szCs w:val="20"/>
              </w:rPr>
            </w:pPr>
            <w:r w:rsidRPr="00A940A8">
              <w:rPr>
                <w:rFonts w:ascii="Cambria" w:hAnsi="Cambria" w:cs="Arial"/>
                <w:sz w:val="20"/>
                <w:szCs w:val="20"/>
              </w:rPr>
              <w:t>mechanická odolnost svítidla</w:t>
            </w:r>
          </w:p>
        </w:tc>
        <w:tc>
          <w:tcPr>
            <w:tcW w:w="1134" w:type="dxa"/>
            <w:vAlign w:val="center"/>
          </w:tcPr>
          <w:p w14:paraId="57F37223" w14:textId="2B47C4F5" w:rsidR="00B76C74" w:rsidRPr="00A940A8" w:rsidRDefault="00B76C74" w:rsidP="00B76C74">
            <w:pPr>
              <w:jc w:val="center"/>
              <w:rPr>
                <w:rFonts w:ascii="Cambria" w:hAnsi="Cambria" w:cs="Calibri"/>
                <w:sz w:val="20"/>
                <w:szCs w:val="20"/>
              </w:rPr>
            </w:pPr>
            <w:r w:rsidRPr="00A940A8">
              <w:rPr>
                <w:rFonts w:ascii="Cambria" w:hAnsi="Cambria"/>
                <w:sz w:val="20"/>
                <w:szCs w:val="20"/>
              </w:rPr>
              <w:t>IK</w:t>
            </w:r>
          </w:p>
        </w:tc>
        <w:tc>
          <w:tcPr>
            <w:tcW w:w="992" w:type="dxa"/>
            <w:vAlign w:val="center"/>
          </w:tcPr>
          <w:p w14:paraId="4B86F87F" w14:textId="641DB5F6" w:rsidR="00B76C74" w:rsidRPr="00A940A8" w:rsidRDefault="002D4B8F" w:rsidP="002D4B8F">
            <w:pPr>
              <w:jc w:val="center"/>
              <w:rPr>
                <w:rFonts w:ascii="Cambria" w:hAnsi="Cambria" w:cs="Arial CE"/>
                <w:sz w:val="20"/>
                <w:szCs w:val="20"/>
              </w:rPr>
            </w:pPr>
            <w:r w:rsidRPr="00A940A8">
              <w:rPr>
                <w:rFonts w:ascii="Cambria" w:hAnsi="Cambria" w:cs="Arial CE"/>
                <w:sz w:val="20"/>
                <w:szCs w:val="20"/>
              </w:rPr>
              <w:t xml:space="preserve">min. </w:t>
            </w:r>
            <w:r w:rsidR="00B76C74" w:rsidRPr="00A940A8">
              <w:rPr>
                <w:rFonts w:ascii="Cambria" w:hAnsi="Cambria" w:cs="Arial CE"/>
                <w:sz w:val="20"/>
                <w:szCs w:val="20"/>
              </w:rPr>
              <w:t>09</w:t>
            </w:r>
          </w:p>
        </w:tc>
        <w:tc>
          <w:tcPr>
            <w:tcW w:w="1701" w:type="dxa"/>
            <w:vAlign w:val="center"/>
          </w:tcPr>
          <w:p w14:paraId="316E83E7" w14:textId="2760E6E7"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7C710ED"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505B50A" w14:textId="77777777" w:rsidTr="00A940A8">
        <w:trPr>
          <w:gridBefore w:val="1"/>
          <w:wBefore w:w="7" w:type="dxa"/>
          <w:trHeight w:val="517"/>
        </w:trPr>
        <w:tc>
          <w:tcPr>
            <w:tcW w:w="3794" w:type="dxa"/>
            <w:vAlign w:val="center"/>
          </w:tcPr>
          <w:p w14:paraId="21BC5C1A" w14:textId="401C72A6" w:rsidR="00B76C74" w:rsidRPr="00A940A8" w:rsidRDefault="00B76C74" w:rsidP="00B76C74">
            <w:pPr>
              <w:jc w:val="both"/>
              <w:rPr>
                <w:rFonts w:ascii="Cambria" w:hAnsi="Cambria"/>
                <w:color w:val="000000"/>
                <w:sz w:val="20"/>
                <w:szCs w:val="20"/>
              </w:rPr>
            </w:pPr>
            <w:r w:rsidRPr="00A940A8">
              <w:rPr>
                <w:rFonts w:ascii="Cambria" w:hAnsi="Cambria" w:cs="Arial"/>
                <w:sz w:val="20"/>
                <w:szCs w:val="20"/>
              </w:rPr>
              <w:t>korpus svítidla z hliníkové slitiny, samočistící / zamezení usazování nečistot</w:t>
            </w:r>
          </w:p>
        </w:tc>
        <w:tc>
          <w:tcPr>
            <w:tcW w:w="1134" w:type="dxa"/>
            <w:vAlign w:val="center"/>
          </w:tcPr>
          <w:p w14:paraId="52260B24" w14:textId="7B5BB973" w:rsidR="00B76C74" w:rsidRPr="00A940A8" w:rsidRDefault="00B76C74" w:rsidP="00B76C74">
            <w:pPr>
              <w:jc w:val="center"/>
              <w:rPr>
                <w:rFonts w:ascii="Cambria" w:hAnsi="Cambria"/>
                <w:color w:val="000000"/>
                <w:sz w:val="20"/>
                <w:szCs w:val="20"/>
              </w:rPr>
            </w:pPr>
            <w:r w:rsidRPr="00A940A8">
              <w:rPr>
                <w:rFonts w:ascii="Cambria" w:hAnsi="Cambria"/>
                <w:sz w:val="20"/>
                <w:szCs w:val="20"/>
              </w:rPr>
              <w:t>ANO/ NE</w:t>
            </w:r>
          </w:p>
        </w:tc>
        <w:tc>
          <w:tcPr>
            <w:tcW w:w="992" w:type="dxa"/>
            <w:vAlign w:val="center"/>
          </w:tcPr>
          <w:p w14:paraId="2927158C" w14:textId="369AC021"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88638AD" w14:textId="13F7EC0B"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038FB18"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62E6556F" w14:textId="77777777" w:rsidTr="00A940A8">
        <w:trPr>
          <w:gridBefore w:val="1"/>
          <w:wBefore w:w="7" w:type="dxa"/>
          <w:trHeight w:val="517"/>
        </w:trPr>
        <w:tc>
          <w:tcPr>
            <w:tcW w:w="3794" w:type="dxa"/>
            <w:vAlign w:val="center"/>
          </w:tcPr>
          <w:p w14:paraId="56FF1B12" w14:textId="1E672E7C" w:rsidR="00B76C74" w:rsidRPr="00A940A8" w:rsidRDefault="00B76C74" w:rsidP="00B76C74">
            <w:pPr>
              <w:jc w:val="both"/>
              <w:rPr>
                <w:rFonts w:ascii="Cambria" w:hAnsi="Cambria"/>
                <w:color w:val="000000"/>
                <w:sz w:val="20"/>
                <w:szCs w:val="20"/>
              </w:rPr>
            </w:pPr>
            <w:r w:rsidRPr="00A940A8">
              <w:rPr>
                <w:rFonts w:ascii="Cambria" w:hAnsi="Cambria" w:cs="Arial"/>
                <w:sz w:val="20"/>
                <w:szCs w:val="20"/>
              </w:rPr>
              <w:t>nedestruktivně vyměnitelné těsnění pro zajištění dlouhé životnosti svítidla</w:t>
            </w:r>
          </w:p>
        </w:tc>
        <w:tc>
          <w:tcPr>
            <w:tcW w:w="1134" w:type="dxa"/>
            <w:vAlign w:val="center"/>
          </w:tcPr>
          <w:p w14:paraId="13BE6499" w14:textId="08E677CD" w:rsidR="00B76C74" w:rsidRPr="00A940A8" w:rsidRDefault="00B76C74" w:rsidP="00B76C74">
            <w:pPr>
              <w:jc w:val="center"/>
              <w:rPr>
                <w:rFonts w:ascii="Cambria" w:hAnsi="Cambria"/>
                <w:color w:val="000000"/>
                <w:sz w:val="20"/>
                <w:szCs w:val="20"/>
              </w:rPr>
            </w:pPr>
            <w:r w:rsidRPr="00A940A8">
              <w:rPr>
                <w:rFonts w:ascii="Cambria" w:hAnsi="Cambria"/>
                <w:sz w:val="20"/>
                <w:szCs w:val="20"/>
              </w:rPr>
              <w:t>ANO/ NE</w:t>
            </w:r>
          </w:p>
        </w:tc>
        <w:tc>
          <w:tcPr>
            <w:tcW w:w="992" w:type="dxa"/>
            <w:vAlign w:val="center"/>
          </w:tcPr>
          <w:p w14:paraId="50EC27C5" w14:textId="69C982D5"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0A25FA02" w14:textId="5B727480"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6DF4C995"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4DB34CD" w14:textId="77777777" w:rsidTr="00A940A8">
        <w:trPr>
          <w:gridBefore w:val="1"/>
          <w:wBefore w:w="7" w:type="dxa"/>
          <w:trHeight w:val="517"/>
        </w:trPr>
        <w:tc>
          <w:tcPr>
            <w:tcW w:w="3794" w:type="dxa"/>
            <w:vAlign w:val="center"/>
          </w:tcPr>
          <w:p w14:paraId="39686A5A" w14:textId="776F1F43"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min. 5 druhů různých optik včetně typu pro přechod pro chodce</w:t>
            </w:r>
          </w:p>
        </w:tc>
        <w:tc>
          <w:tcPr>
            <w:tcW w:w="1134" w:type="dxa"/>
            <w:vAlign w:val="center"/>
          </w:tcPr>
          <w:p w14:paraId="75C4CF2A" w14:textId="0C8EB33D"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D215CDA" w14:textId="72AD2534"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A4C819C" w14:textId="0EBE7F2B"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4150130"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09E41604" w14:textId="77777777" w:rsidTr="00A940A8">
        <w:trPr>
          <w:gridBefore w:val="1"/>
          <w:wBefore w:w="7" w:type="dxa"/>
          <w:trHeight w:val="517"/>
        </w:trPr>
        <w:tc>
          <w:tcPr>
            <w:tcW w:w="3794" w:type="dxa"/>
            <w:vAlign w:val="center"/>
          </w:tcPr>
          <w:p w14:paraId="5885764F" w14:textId="45AB130E"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svítidlo musí umožňovat instalaci stínícího prvku (který je doplňkovým příslušenstvím) pro omezení rušivého světla</w:t>
            </w:r>
          </w:p>
        </w:tc>
        <w:tc>
          <w:tcPr>
            <w:tcW w:w="1134" w:type="dxa"/>
            <w:vAlign w:val="center"/>
          </w:tcPr>
          <w:p w14:paraId="1318ACBD" w14:textId="597EF4BD"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1083138" w14:textId="77793772"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4A781B0" w14:textId="43F3F4EE"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9270B2A"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46F899BD" w14:textId="77777777" w:rsidTr="00A940A8">
        <w:trPr>
          <w:gridBefore w:val="1"/>
          <w:wBefore w:w="7" w:type="dxa"/>
          <w:trHeight w:val="517"/>
        </w:trPr>
        <w:tc>
          <w:tcPr>
            <w:tcW w:w="3794" w:type="dxa"/>
            <w:vAlign w:val="center"/>
          </w:tcPr>
          <w:p w14:paraId="0E2D3D12" w14:textId="50101461"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svítidlo musí umožňovat instalaci </w:t>
            </w:r>
            <w:proofErr w:type="spellStart"/>
            <w:r w:rsidRPr="00A940A8">
              <w:rPr>
                <w:rFonts w:ascii="Cambria" w:hAnsi="Cambria" w:cs="Arial"/>
                <w:sz w:val="20"/>
                <w:szCs w:val="20"/>
              </w:rPr>
              <w:t>Backlight</w:t>
            </w:r>
            <w:proofErr w:type="spellEnd"/>
            <w:r w:rsidRPr="00A940A8">
              <w:rPr>
                <w:rFonts w:ascii="Cambria" w:hAnsi="Cambria" w:cs="Arial"/>
                <w:sz w:val="20"/>
                <w:szCs w:val="20"/>
              </w:rPr>
              <w:t xml:space="preserve"> </w:t>
            </w:r>
            <w:proofErr w:type="spellStart"/>
            <w:r w:rsidRPr="00A940A8">
              <w:rPr>
                <w:rFonts w:ascii="Cambria" w:hAnsi="Cambria" w:cs="Arial"/>
                <w:sz w:val="20"/>
                <w:szCs w:val="20"/>
              </w:rPr>
              <w:t>Control</w:t>
            </w:r>
            <w:proofErr w:type="spellEnd"/>
            <w:r w:rsidRPr="00A940A8">
              <w:rPr>
                <w:rFonts w:ascii="Cambria" w:hAnsi="Cambria" w:cs="Arial"/>
                <w:sz w:val="20"/>
                <w:szCs w:val="20"/>
              </w:rPr>
              <w:t xml:space="preserve"> reflektoru pro omezení rušivého světla</w:t>
            </w:r>
          </w:p>
        </w:tc>
        <w:tc>
          <w:tcPr>
            <w:tcW w:w="1134" w:type="dxa"/>
            <w:vAlign w:val="center"/>
          </w:tcPr>
          <w:p w14:paraId="788C960E" w14:textId="767FDEBC"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02B4353" w14:textId="0050FE7D"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446591F8" w14:textId="3254F44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79DACBE"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7D9F56CE" w14:textId="77777777" w:rsidTr="00A940A8">
        <w:trPr>
          <w:gridBefore w:val="1"/>
          <w:wBefore w:w="7" w:type="dxa"/>
          <w:trHeight w:val="517"/>
        </w:trPr>
        <w:tc>
          <w:tcPr>
            <w:tcW w:w="3794" w:type="dxa"/>
            <w:vAlign w:val="center"/>
          </w:tcPr>
          <w:p w14:paraId="4A2EC1A6" w14:textId="13EAACC6"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svítidlo nemá COB čip</w:t>
            </w:r>
          </w:p>
        </w:tc>
        <w:tc>
          <w:tcPr>
            <w:tcW w:w="1134" w:type="dxa"/>
            <w:vAlign w:val="center"/>
          </w:tcPr>
          <w:p w14:paraId="7EC7DCE9" w14:textId="2290B79A"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ED1899F" w14:textId="3E3FAE71"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5472CE27" w14:textId="16C280BD"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535BA394"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606F797B" w14:textId="77777777" w:rsidTr="00A940A8">
        <w:trPr>
          <w:gridBefore w:val="1"/>
          <w:wBefore w:w="7" w:type="dxa"/>
          <w:trHeight w:val="517"/>
        </w:trPr>
        <w:tc>
          <w:tcPr>
            <w:tcW w:w="3794" w:type="dxa"/>
            <w:vAlign w:val="center"/>
          </w:tcPr>
          <w:p w14:paraId="64D20835" w14:textId="2CF2F21C" w:rsidR="00B76C74" w:rsidRPr="00CD21DE" w:rsidRDefault="00B76C74" w:rsidP="00B76C74">
            <w:pPr>
              <w:pBdr>
                <w:top w:val="nil"/>
                <w:left w:val="nil"/>
                <w:bottom w:val="nil"/>
                <w:right w:val="nil"/>
                <w:between w:val="nil"/>
              </w:pBdr>
              <w:jc w:val="both"/>
              <w:rPr>
                <w:rFonts w:ascii="Cambria" w:hAnsi="Cambria"/>
                <w:color w:val="000000"/>
                <w:sz w:val="20"/>
                <w:szCs w:val="20"/>
              </w:rPr>
            </w:pPr>
            <w:r w:rsidRPr="00CD21DE">
              <w:rPr>
                <w:rFonts w:ascii="Cambria" w:hAnsi="Cambria" w:cs="Arial"/>
                <w:sz w:val="20"/>
                <w:szCs w:val="20"/>
              </w:rPr>
              <w:t>LED moduly s kvalitním pasivním chlazením, bez žebrování na korpusu svítidla</w:t>
            </w:r>
          </w:p>
        </w:tc>
        <w:tc>
          <w:tcPr>
            <w:tcW w:w="1134" w:type="dxa"/>
            <w:vAlign w:val="center"/>
          </w:tcPr>
          <w:p w14:paraId="6891BE54" w14:textId="24E0589A"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56D2075" w14:textId="2C140543"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A3F9DFE" w14:textId="079976BF"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359CEE51"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28F4C32" w14:textId="77777777" w:rsidTr="00A940A8">
        <w:trPr>
          <w:gridBefore w:val="1"/>
          <w:wBefore w:w="7" w:type="dxa"/>
          <w:trHeight w:val="517"/>
        </w:trPr>
        <w:tc>
          <w:tcPr>
            <w:tcW w:w="3794" w:type="dxa"/>
            <w:vAlign w:val="center"/>
          </w:tcPr>
          <w:p w14:paraId="2F945EA4" w14:textId="19FA39F9" w:rsidR="00B76C74" w:rsidRPr="00CD21DE" w:rsidRDefault="00B76C74" w:rsidP="00B76C74">
            <w:pPr>
              <w:pBdr>
                <w:top w:val="nil"/>
                <w:left w:val="nil"/>
                <w:bottom w:val="nil"/>
                <w:right w:val="nil"/>
                <w:between w:val="nil"/>
              </w:pBdr>
              <w:jc w:val="both"/>
              <w:rPr>
                <w:rFonts w:ascii="Cambria" w:hAnsi="Cambria"/>
                <w:color w:val="000000"/>
                <w:sz w:val="20"/>
                <w:szCs w:val="20"/>
              </w:rPr>
            </w:pPr>
            <w:r w:rsidRPr="00CD21DE">
              <w:rPr>
                <w:rFonts w:ascii="Cambria" w:hAnsi="Cambria" w:cs="Arial"/>
                <w:sz w:val="20"/>
                <w:szCs w:val="20"/>
              </w:rPr>
              <w:t>pracovní teplota svítidla musí být garantována při teplotě okolí v rozsahu -</w:t>
            </w:r>
            <w:r w:rsidR="00073B98" w:rsidRPr="00CD21DE">
              <w:rPr>
                <w:rFonts w:ascii="Cambria" w:hAnsi="Cambria" w:cs="Arial"/>
                <w:sz w:val="20"/>
                <w:szCs w:val="20"/>
              </w:rPr>
              <w:t> 30</w:t>
            </w:r>
            <w:r w:rsidRPr="00CD21DE">
              <w:rPr>
                <w:rFonts w:ascii="Cambria" w:hAnsi="Cambria" w:cs="Arial"/>
                <w:sz w:val="20"/>
                <w:szCs w:val="20"/>
              </w:rPr>
              <w:t xml:space="preserve"> až + </w:t>
            </w:r>
            <w:proofErr w:type="gramStart"/>
            <w:r w:rsidRPr="00CD21DE">
              <w:rPr>
                <w:rFonts w:ascii="Cambria" w:hAnsi="Cambria" w:cs="Arial"/>
                <w:sz w:val="20"/>
                <w:szCs w:val="20"/>
              </w:rPr>
              <w:t>50° C</w:t>
            </w:r>
            <w:proofErr w:type="gramEnd"/>
          </w:p>
        </w:tc>
        <w:tc>
          <w:tcPr>
            <w:tcW w:w="1134" w:type="dxa"/>
            <w:vAlign w:val="center"/>
          </w:tcPr>
          <w:p w14:paraId="69FF9630" w14:textId="4DB3D4A0"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45497D57" w14:textId="171AA5E5"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0D319CC3" w14:textId="6682DC47"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35798D7"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E593007" w14:textId="77777777" w:rsidTr="00A940A8">
        <w:trPr>
          <w:trHeight w:val="517"/>
        </w:trPr>
        <w:tc>
          <w:tcPr>
            <w:tcW w:w="3801" w:type="dxa"/>
            <w:gridSpan w:val="2"/>
            <w:vAlign w:val="center"/>
          </w:tcPr>
          <w:p w14:paraId="52262369" w14:textId="2C6DEE67" w:rsidR="00B76C74" w:rsidRPr="00CD21DE" w:rsidRDefault="00B76C74" w:rsidP="00B76C74">
            <w:pPr>
              <w:pBdr>
                <w:top w:val="nil"/>
                <w:left w:val="nil"/>
                <w:bottom w:val="nil"/>
                <w:right w:val="nil"/>
                <w:between w:val="nil"/>
              </w:pBdr>
              <w:jc w:val="both"/>
              <w:rPr>
                <w:rFonts w:ascii="Cambria" w:hAnsi="Cambria"/>
                <w:color w:val="000000"/>
                <w:sz w:val="20"/>
                <w:szCs w:val="20"/>
              </w:rPr>
            </w:pPr>
            <w:bookmarkStart w:id="3" w:name="_tyjcwt" w:colFirst="0" w:colLast="0"/>
            <w:bookmarkEnd w:id="3"/>
            <w:r w:rsidRPr="00CD21DE">
              <w:rPr>
                <w:rFonts w:ascii="Cambria" w:hAnsi="Cambria" w:cs="Arial"/>
                <w:sz w:val="20"/>
                <w:szCs w:val="20"/>
              </w:rPr>
              <w:t>membránový ventil zajišťující kompenzaci změny tlaku v důsledku rozdílu teplot mezi vnitřkem a vnějškem</w:t>
            </w:r>
          </w:p>
        </w:tc>
        <w:tc>
          <w:tcPr>
            <w:tcW w:w="1134" w:type="dxa"/>
            <w:vAlign w:val="center"/>
          </w:tcPr>
          <w:p w14:paraId="1C294857" w14:textId="06F0DF50"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3A9E051" w14:textId="745B11C3"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6C8F93C" w14:textId="2F5A3B83"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70E658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67B6A6D" w14:textId="77777777" w:rsidTr="00A940A8">
        <w:trPr>
          <w:trHeight w:val="517"/>
        </w:trPr>
        <w:tc>
          <w:tcPr>
            <w:tcW w:w="3801" w:type="dxa"/>
            <w:gridSpan w:val="2"/>
            <w:vAlign w:val="center"/>
          </w:tcPr>
          <w:p w14:paraId="5E94436C" w14:textId="105FB213"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mechanické oddělení </w:t>
            </w:r>
            <w:proofErr w:type="spellStart"/>
            <w:r w:rsidRPr="00A940A8">
              <w:rPr>
                <w:rFonts w:ascii="Cambria" w:hAnsi="Cambria" w:cs="Arial"/>
                <w:sz w:val="20"/>
                <w:szCs w:val="20"/>
              </w:rPr>
              <w:t>předřadníkové</w:t>
            </w:r>
            <w:proofErr w:type="spellEnd"/>
            <w:r w:rsidRPr="00A940A8">
              <w:rPr>
                <w:rFonts w:ascii="Cambria" w:hAnsi="Cambria" w:cs="Arial"/>
                <w:sz w:val="20"/>
                <w:szCs w:val="20"/>
              </w:rPr>
              <w:t xml:space="preserve"> části a prostoru pro LED modul</w:t>
            </w:r>
          </w:p>
        </w:tc>
        <w:tc>
          <w:tcPr>
            <w:tcW w:w="1134" w:type="dxa"/>
            <w:vAlign w:val="center"/>
          </w:tcPr>
          <w:p w14:paraId="78EB7FFD" w14:textId="61B3A3BA"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F40FC00" w14:textId="64C5624B"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D9A137A" w14:textId="170F4118"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AEA3838"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9B9E128" w14:textId="77777777" w:rsidTr="00A940A8">
        <w:trPr>
          <w:trHeight w:val="517"/>
        </w:trPr>
        <w:tc>
          <w:tcPr>
            <w:tcW w:w="3801" w:type="dxa"/>
            <w:gridSpan w:val="2"/>
            <w:vAlign w:val="center"/>
          </w:tcPr>
          <w:p w14:paraId="67AEA645" w14:textId="423F2F69"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povrchová úprava lakováním splňující antikorozní ochranu C5 dle EN ISO 12944</w:t>
            </w:r>
          </w:p>
        </w:tc>
        <w:tc>
          <w:tcPr>
            <w:tcW w:w="1134" w:type="dxa"/>
            <w:vAlign w:val="center"/>
          </w:tcPr>
          <w:p w14:paraId="322D9AA1" w14:textId="439D0218"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14D61B1" w14:textId="0358CC3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A91EC1B" w14:textId="3B107460"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6B1B8493"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9E92444" w14:textId="77777777" w:rsidTr="00A940A8">
        <w:trPr>
          <w:trHeight w:val="517"/>
        </w:trPr>
        <w:tc>
          <w:tcPr>
            <w:tcW w:w="3801" w:type="dxa"/>
            <w:gridSpan w:val="2"/>
            <w:vAlign w:val="center"/>
          </w:tcPr>
          <w:p w14:paraId="0AFF88C9" w14:textId="0D0AA4F1"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CE"/>
                <w:sz w:val="20"/>
                <w:szCs w:val="20"/>
              </w:rPr>
              <w:t>otevíraní svítidla bez nutnosti použít nářadí, po otevření svítidla, musí být obě části stále v pevném spojení</w:t>
            </w:r>
          </w:p>
        </w:tc>
        <w:tc>
          <w:tcPr>
            <w:tcW w:w="1134" w:type="dxa"/>
            <w:vAlign w:val="center"/>
          </w:tcPr>
          <w:p w14:paraId="082F44EA" w14:textId="79661F4B"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5118F823" w14:textId="009EFBDA"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87379D6" w14:textId="10A97C79"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2115BC65"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EB17C31" w14:textId="77777777" w:rsidTr="00A940A8">
        <w:trPr>
          <w:trHeight w:val="517"/>
        </w:trPr>
        <w:tc>
          <w:tcPr>
            <w:tcW w:w="3801" w:type="dxa"/>
            <w:gridSpan w:val="2"/>
            <w:vAlign w:val="center"/>
          </w:tcPr>
          <w:p w14:paraId="602119AC" w14:textId="52776DF7" w:rsidR="00B76C74" w:rsidRPr="00A940A8" w:rsidRDefault="00B76C74" w:rsidP="00B76C74">
            <w:pPr>
              <w:pBdr>
                <w:top w:val="nil"/>
                <w:left w:val="nil"/>
                <w:bottom w:val="nil"/>
                <w:right w:val="nil"/>
                <w:between w:val="nil"/>
              </w:pBdr>
              <w:jc w:val="both"/>
              <w:rPr>
                <w:rFonts w:ascii="Cambria" w:hAnsi="Cambria"/>
                <w:sz w:val="20"/>
                <w:szCs w:val="20"/>
              </w:rPr>
            </w:pPr>
            <w:r w:rsidRPr="00A940A8">
              <w:rPr>
                <w:rFonts w:ascii="Cambria" w:hAnsi="Cambria" w:cs="Arial"/>
                <w:sz w:val="20"/>
                <w:szCs w:val="20"/>
              </w:rPr>
              <w:t xml:space="preserve">jmenovitá životnost </w:t>
            </w:r>
            <w:r w:rsidR="002D4B8F" w:rsidRPr="00A940A8">
              <w:rPr>
                <w:rFonts w:ascii="Cambria" w:hAnsi="Cambria" w:cs="Arial"/>
                <w:sz w:val="20"/>
                <w:szCs w:val="20"/>
              </w:rPr>
              <w:t>světelných zdrojů LED</w:t>
            </w:r>
          </w:p>
        </w:tc>
        <w:tc>
          <w:tcPr>
            <w:tcW w:w="1134" w:type="dxa"/>
            <w:vAlign w:val="center"/>
          </w:tcPr>
          <w:p w14:paraId="70E2B492" w14:textId="5DCB7283" w:rsidR="00B76C74" w:rsidRPr="00A940A8" w:rsidRDefault="00B76C74" w:rsidP="00B76C74">
            <w:pPr>
              <w:jc w:val="center"/>
              <w:rPr>
                <w:rFonts w:ascii="Cambria" w:hAnsi="Cambria"/>
                <w:sz w:val="20"/>
                <w:szCs w:val="20"/>
              </w:rPr>
            </w:pPr>
            <w:r w:rsidRPr="00A940A8">
              <w:rPr>
                <w:rFonts w:ascii="Cambria" w:hAnsi="Cambria"/>
                <w:sz w:val="20"/>
                <w:szCs w:val="20"/>
              </w:rPr>
              <w:t>hod. LB</w:t>
            </w:r>
          </w:p>
        </w:tc>
        <w:tc>
          <w:tcPr>
            <w:tcW w:w="992" w:type="dxa"/>
            <w:vAlign w:val="center"/>
          </w:tcPr>
          <w:p w14:paraId="44AE1115" w14:textId="6E309191" w:rsidR="00B76C74" w:rsidRPr="00A940A8" w:rsidRDefault="00B76C74" w:rsidP="00B76C74">
            <w:pPr>
              <w:jc w:val="center"/>
              <w:rPr>
                <w:rFonts w:ascii="Cambria" w:hAnsi="Cambria"/>
                <w:sz w:val="20"/>
                <w:szCs w:val="20"/>
              </w:rPr>
            </w:pPr>
            <w:r w:rsidRPr="00A940A8">
              <w:rPr>
                <w:rFonts w:ascii="Cambria" w:hAnsi="Cambria" w:cs="Arial CE"/>
                <w:sz w:val="20"/>
                <w:szCs w:val="20"/>
              </w:rPr>
              <w:t xml:space="preserve">min. 100 000 hod. L95B10 při </w:t>
            </w:r>
            <w:proofErr w:type="gramStart"/>
            <w:r w:rsidRPr="00A940A8">
              <w:rPr>
                <w:rFonts w:ascii="Cambria" w:hAnsi="Cambria" w:cs="Arial CE"/>
                <w:sz w:val="20"/>
                <w:szCs w:val="20"/>
              </w:rPr>
              <w:t>25°C</w:t>
            </w:r>
            <w:proofErr w:type="gramEnd"/>
          </w:p>
        </w:tc>
        <w:tc>
          <w:tcPr>
            <w:tcW w:w="1701" w:type="dxa"/>
            <w:vAlign w:val="center"/>
          </w:tcPr>
          <w:p w14:paraId="4436441E" w14:textId="45F43550"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0E00F22"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66188A62" w14:textId="77777777" w:rsidTr="00A940A8">
        <w:trPr>
          <w:trHeight w:val="517"/>
        </w:trPr>
        <w:tc>
          <w:tcPr>
            <w:tcW w:w="3801" w:type="dxa"/>
            <w:gridSpan w:val="2"/>
            <w:vAlign w:val="center"/>
          </w:tcPr>
          <w:p w14:paraId="59F652EB" w14:textId="523657E2" w:rsidR="00B76C74" w:rsidRPr="00A940A8" w:rsidRDefault="00071380" w:rsidP="00B76C74">
            <w:pPr>
              <w:pBdr>
                <w:top w:val="nil"/>
                <w:left w:val="nil"/>
                <w:bottom w:val="nil"/>
                <w:right w:val="nil"/>
                <w:between w:val="nil"/>
              </w:pBdr>
              <w:jc w:val="both"/>
              <w:rPr>
                <w:rFonts w:ascii="Cambria" w:hAnsi="Cambria"/>
                <w:sz w:val="20"/>
                <w:szCs w:val="20"/>
              </w:rPr>
            </w:pPr>
            <w:r w:rsidRPr="00A940A8">
              <w:rPr>
                <w:rFonts w:ascii="Cambria" w:hAnsi="Cambria" w:cs="Arial"/>
                <w:sz w:val="20"/>
                <w:szCs w:val="20"/>
              </w:rPr>
              <w:t xml:space="preserve">Nastavení typu </w:t>
            </w:r>
            <w:r w:rsidR="00B76C74" w:rsidRPr="00A940A8">
              <w:rPr>
                <w:rFonts w:ascii="Cambria" w:hAnsi="Cambria" w:cs="Arial"/>
                <w:sz w:val="20"/>
                <w:szCs w:val="20"/>
              </w:rPr>
              <w:t>regulace výkonu svítidla pomocí autonomního nastavení světe</w:t>
            </w:r>
            <w:r w:rsidRPr="00A940A8">
              <w:rPr>
                <w:rFonts w:ascii="Cambria" w:hAnsi="Cambria" w:cs="Arial"/>
                <w:sz w:val="20"/>
                <w:szCs w:val="20"/>
              </w:rPr>
              <w:t>l</w:t>
            </w:r>
            <w:r w:rsidR="00B76C74" w:rsidRPr="00A940A8">
              <w:rPr>
                <w:rFonts w:ascii="Cambria" w:hAnsi="Cambria" w:cs="Arial"/>
                <w:sz w:val="20"/>
                <w:szCs w:val="20"/>
              </w:rPr>
              <w:t>ného toku v místě instalace u stožárové svorkovnice</w:t>
            </w:r>
          </w:p>
        </w:tc>
        <w:tc>
          <w:tcPr>
            <w:tcW w:w="1134" w:type="dxa"/>
            <w:vAlign w:val="center"/>
          </w:tcPr>
          <w:p w14:paraId="59D7E985" w14:textId="60F4E594"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6F7C3831" w14:textId="584D4A6E"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4B267F96" w14:textId="64D2365B"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EF9896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7CD6A4C4" w14:textId="77777777" w:rsidTr="00A940A8">
        <w:trPr>
          <w:trHeight w:val="517"/>
        </w:trPr>
        <w:tc>
          <w:tcPr>
            <w:tcW w:w="3801" w:type="dxa"/>
            <w:gridSpan w:val="2"/>
            <w:vAlign w:val="center"/>
          </w:tcPr>
          <w:p w14:paraId="5681AF43" w14:textId="04F6E88A"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regulace výkonu svítidla v rozsahu 30-</w:t>
            </w:r>
            <w:proofErr w:type="gramStart"/>
            <w:r w:rsidRPr="00A940A8">
              <w:rPr>
                <w:rFonts w:ascii="Cambria" w:hAnsi="Cambria" w:cs="Arial"/>
                <w:sz w:val="20"/>
                <w:szCs w:val="20"/>
              </w:rPr>
              <w:t>100%</w:t>
            </w:r>
            <w:proofErr w:type="gramEnd"/>
            <w:r w:rsidRPr="00A940A8">
              <w:rPr>
                <w:rFonts w:ascii="Cambria" w:hAnsi="Cambria" w:cs="Arial"/>
                <w:sz w:val="20"/>
                <w:szCs w:val="20"/>
              </w:rPr>
              <w:t xml:space="preserve"> </w:t>
            </w:r>
            <w:r w:rsidR="00071380" w:rsidRPr="00A940A8">
              <w:rPr>
                <w:rFonts w:ascii="Cambria" w:hAnsi="Cambria" w:cs="Arial"/>
                <w:sz w:val="20"/>
                <w:szCs w:val="20"/>
              </w:rPr>
              <w:t xml:space="preserve">min. </w:t>
            </w:r>
            <w:r w:rsidRPr="00A940A8">
              <w:rPr>
                <w:rFonts w:ascii="Cambria" w:hAnsi="Cambria" w:cs="Arial"/>
                <w:sz w:val="20"/>
                <w:szCs w:val="20"/>
              </w:rPr>
              <w:t>ve dvou časových pásmech</w:t>
            </w:r>
          </w:p>
        </w:tc>
        <w:tc>
          <w:tcPr>
            <w:tcW w:w="1134" w:type="dxa"/>
            <w:vAlign w:val="center"/>
          </w:tcPr>
          <w:p w14:paraId="482D7920" w14:textId="2E183E60"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7B4734C8" w14:textId="282D52C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38CAE06" w14:textId="0B84A8AA"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6FCD727"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CEB2F4D" w14:textId="77777777" w:rsidTr="00A940A8">
        <w:trPr>
          <w:trHeight w:val="517"/>
        </w:trPr>
        <w:tc>
          <w:tcPr>
            <w:tcW w:w="3801" w:type="dxa"/>
            <w:gridSpan w:val="2"/>
            <w:vAlign w:val="center"/>
          </w:tcPr>
          <w:p w14:paraId="517BFCD8" w14:textId="679B1A60"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na svítidlo jako celek musí být poskytnuta minimální délka záruky 5 let</w:t>
            </w:r>
          </w:p>
        </w:tc>
        <w:tc>
          <w:tcPr>
            <w:tcW w:w="1134" w:type="dxa"/>
            <w:vAlign w:val="center"/>
          </w:tcPr>
          <w:p w14:paraId="1C9FDE3C" w14:textId="731DBA05"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12829A5" w14:textId="6DCD5696"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C1D6FA0" w14:textId="75C0D13E"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50502012"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7A2D7827" w14:textId="77777777" w:rsidTr="00A940A8">
        <w:trPr>
          <w:trHeight w:val="517"/>
        </w:trPr>
        <w:tc>
          <w:tcPr>
            <w:tcW w:w="3801" w:type="dxa"/>
            <w:gridSpan w:val="2"/>
            <w:vAlign w:val="center"/>
          </w:tcPr>
          <w:p w14:paraId="558271DE" w14:textId="444FC33F"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možnost náklonu svítidla minimálně v </w:t>
            </w:r>
            <w:proofErr w:type="gramStart"/>
            <w:r w:rsidRPr="00A940A8">
              <w:rPr>
                <w:rFonts w:ascii="Cambria" w:hAnsi="Cambria" w:cs="Arial"/>
                <w:sz w:val="20"/>
                <w:szCs w:val="20"/>
              </w:rPr>
              <w:t>rozsahu  +</w:t>
            </w:r>
            <w:proofErr w:type="gramEnd"/>
            <w:r w:rsidRPr="00A940A8">
              <w:rPr>
                <w:rFonts w:ascii="Cambria" w:hAnsi="Cambria" w:cs="Arial"/>
                <w:sz w:val="20"/>
                <w:szCs w:val="20"/>
              </w:rPr>
              <w:t xml:space="preserve">- 15°. Naklápění bez použití nástrojů. </w:t>
            </w:r>
          </w:p>
        </w:tc>
        <w:tc>
          <w:tcPr>
            <w:tcW w:w="1134" w:type="dxa"/>
            <w:vAlign w:val="center"/>
          </w:tcPr>
          <w:p w14:paraId="085723C6" w14:textId="56764727"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99FBC57" w14:textId="797F9E7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2041968" w14:textId="7CD244A1"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24F6048"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DA320F0" w14:textId="77777777" w:rsidTr="00A940A8">
        <w:trPr>
          <w:trHeight w:val="517"/>
        </w:trPr>
        <w:tc>
          <w:tcPr>
            <w:tcW w:w="3801" w:type="dxa"/>
            <w:gridSpan w:val="2"/>
            <w:vAlign w:val="center"/>
          </w:tcPr>
          <w:p w14:paraId="3D6773BE" w14:textId="430210B8"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lastRenderedPageBreak/>
              <w:t xml:space="preserve">aretace svítidla k dříku/výložníku pomocí dvou šroubů z neoxidujícího materiálu nebo úpravou proti oxidaci. </w:t>
            </w:r>
          </w:p>
        </w:tc>
        <w:tc>
          <w:tcPr>
            <w:tcW w:w="1134" w:type="dxa"/>
            <w:vAlign w:val="center"/>
          </w:tcPr>
          <w:p w14:paraId="44D0185D" w14:textId="12948E65"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BBE7677" w14:textId="2FEF43AD"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E43878A" w14:textId="7009318A"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FB3BE9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AE42670" w14:textId="77777777" w:rsidTr="00A940A8">
        <w:trPr>
          <w:trHeight w:val="517"/>
        </w:trPr>
        <w:tc>
          <w:tcPr>
            <w:tcW w:w="3801" w:type="dxa"/>
            <w:gridSpan w:val="2"/>
            <w:vAlign w:val="center"/>
          </w:tcPr>
          <w:p w14:paraId="58EDD5D5" w14:textId="41482B99" w:rsidR="00B76C74" w:rsidRPr="00A940A8" w:rsidRDefault="00B76C74" w:rsidP="00B76C74">
            <w:pPr>
              <w:jc w:val="both"/>
              <w:rPr>
                <w:rFonts w:ascii="Cambria" w:hAnsi="Cambria"/>
                <w:sz w:val="20"/>
                <w:szCs w:val="20"/>
              </w:rPr>
            </w:pPr>
            <w:bookmarkStart w:id="4" w:name="_3dy6vkm" w:colFirst="0" w:colLast="0"/>
            <w:bookmarkEnd w:id="4"/>
            <w:r w:rsidRPr="00A940A8">
              <w:rPr>
                <w:rFonts w:ascii="Cambria" w:hAnsi="Cambria" w:cs="Arial"/>
                <w:sz w:val="20"/>
                <w:szCs w:val="20"/>
              </w:rPr>
              <w:t xml:space="preserve">volba příruby na stožáry průměru 42, 60 a </w:t>
            </w:r>
            <w:proofErr w:type="gramStart"/>
            <w:r w:rsidRPr="00A940A8">
              <w:rPr>
                <w:rFonts w:ascii="Cambria" w:hAnsi="Cambria" w:cs="Arial"/>
                <w:sz w:val="20"/>
                <w:szCs w:val="20"/>
              </w:rPr>
              <w:t>72mm</w:t>
            </w:r>
            <w:proofErr w:type="gramEnd"/>
          </w:p>
        </w:tc>
        <w:tc>
          <w:tcPr>
            <w:tcW w:w="1134" w:type="dxa"/>
            <w:vAlign w:val="center"/>
          </w:tcPr>
          <w:p w14:paraId="373124A5" w14:textId="68276965"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2C0BE40" w14:textId="090414D9"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357A6BB" w14:textId="44D38C78"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4A43725"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E0C33E4" w14:textId="77777777" w:rsidTr="00A940A8">
        <w:trPr>
          <w:trHeight w:val="517"/>
        </w:trPr>
        <w:tc>
          <w:tcPr>
            <w:tcW w:w="3801" w:type="dxa"/>
            <w:gridSpan w:val="2"/>
            <w:vAlign w:val="center"/>
          </w:tcPr>
          <w:p w14:paraId="0DA35FAC" w14:textId="7E659B3B" w:rsidR="00B76C74" w:rsidRPr="00A940A8" w:rsidRDefault="00B76C74" w:rsidP="00B76C74">
            <w:pPr>
              <w:jc w:val="both"/>
              <w:rPr>
                <w:rFonts w:ascii="Cambria" w:hAnsi="Cambria"/>
                <w:sz w:val="20"/>
                <w:szCs w:val="20"/>
              </w:rPr>
            </w:pPr>
            <w:r w:rsidRPr="00A940A8">
              <w:rPr>
                <w:rFonts w:ascii="Cambria" w:hAnsi="Cambria" w:cs="Arial"/>
                <w:sz w:val="20"/>
                <w:szCs w:val="20"/>
              </w:rPr>
              <w:t>certifikace ENEC</w:t>
            </w:r>
            <w:r w:rsidR="00936335" w:rsidRPr="00A940A8">
              <w:rPr>
                <w:rFonts w:ascii="Cambria" w:hAnsi="Cambria" w:cs="Arial"/>
                <w:sz w:val="20"/>
                <w:szCs w:val="20"/>
              </w:rPr>
              <w:t>+</w:t>
            </w:r>
            <w:r w:rsidRPr="00A940A8">
              <w:rPr>
                <w:rFonts w:ascii="Cambria" w:hAnsi="Cambria" w:cs="Arial"/>
                <w:sz w:val="20"/>
                <w:szCs w:val="20"/>
              </w:rPr>
              <w:t xml:space="preserve"> s </w:t>
            </w:r>
            <w:proofErr w:type="spellStart"/>
            <w:r w:rsidRPr="00A940A8">
              <w:rPr>
                <w:rFonts w:ascii="Cambria" w:hAnsi="Cambria" w:cs="Arial"/>
                <w:sz w:val="20"/>
                <w:szCs w:val="20"/>
              </w:rPr>
              <w:t>dohlednáním</w:t>
            </w:r>
            <w:proofErr w:type="spellEnd"/>
            <w:r w:rsidRPr="00A940A8">
              <w:rPr>
                <w:rFonts w:ascii="Cambria" w:hAnsi="Cambria" w:cs="Arial"/>
                <w:sz w:val="20"/>
                <w:szCs w:val="20"/>
              </w:rPr>
              <w:t xml:space="preserve"> </w:t>
            </w:r>
            <w:proofErr w:type="spellStart"/>
            <w:r w:rsidRPr="00A940A8">
              <w:rPr>
                <w:rFonts w:ascii="Cambria" w:hAnsi="Cambria" w:cs="Arial"/>
                <w:sz w:val="20"/>
                <w:szCs w:val="20"/>
              </w:rPr>
              <w:t>cetifikátu</w:t>
            </w:r>
            <w:proofErr w:type="spellEnd"/>
            <w:r w:rsidRPr="00A940A8">
              <w:rPr>
                <w:rFonts w:ascii="Cambria" w:hAnsi="Cambria" w:cs="Arial"/>
                <w:sz w:val="20"/>
                <w:szCs w:val="20"/>
              </w:rPr>
              <w:t xml:space="preserve"> na www.enec.com. Doložit certifikátem </w:t>
            </w:r>
          </w:p>
        </w:tc>
        <w:tc>
          <w:tcPr>
            <w:tcW w:w="1134" w:type="dxa"/>
            <w:vAlign w:val="center"/>
          </w:tcPr>
          <w:p w14:paraId="4F99F9D0" w14:textId="4B032414"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77F88B54" w14:textId="7CA089DE"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61118078" w14:textId="374F4AE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77A689D"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4DC665E" w14:textId="77777777" w:rsidTr="00A940A8">
        <w:trPr>
          <w:trHeight w:val="517"/>
        </w:trPr>
        <w:tc>
          <w:tcPr>
            <w:tcW w:w="3801" w:type="dxa"/>
            <w:gridSpan w:val="2"/>
            <w:vAlign w:val="center"/>
          </w:tcPr>
          <w:p w14:paraId="252F7830" w14:textId="67341634"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křivky svítivosti měřeny dle EN 13032 a DIN 5032. Doložit protokolem s uvedením třídy svítivosti dle EN13201-2</w:t>
            </w:r>
          </w:p>
        </w:tc>
        <w:tc>
          <w:tcPr>
            <w:tcW w:w="1134" w:type="dxa"/>
            <w:vAlign w:val="center"/>
          </w:tcPr>
          <w:p w14:paraId="2922926B" w14:textId="528BEBAE"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54B27DE" w14:textId="35D5FCF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2E57E991" w14:textId="1506147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CD21DE">
              <w:rPr>
                <w:rFonts w:ascii="Cambria" w:hAnsi="Cambria"/>
                <w:sz w:val="20"/>
                <w:szCs w:val="20"/>
              </w:rPr>
            </w:r>
            <w:r w:rsidR="00CD21DE">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DA81938"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CD21DE" w14:paraId="38530576" w14:textId="77777777" w:rsidTr="00A940A8">
        <w:trPr>
          <w:trHeight w:val="517"/>
        </w:trPr>
        <w:tc>
          <w:tcPr>
            <w:tcW w:w="3801" w:type="dxa"/>
            <w:gridSpan w:val="2"/>
            <w:vAlign w:val="center"/>
          </w:tcPr>
          <w:p w14:paraId="264D65C2" w14:textId="59ADFE25" w:rsidR="00B76C74" w:rsidRPr="00CD21DE" w:rsidRDefault="00B76C74" w:rsidP="00B76C74">
            <w:pPr>
              <w:jc w:val="both"/>
              <w:rPr>
                <w:rFonts w:ascii="Cambria" w:hAnsi="Cambria" w:cs="Calibri"/>
                <w:sz w:val="20"/>
                <w:szCs w:val="20"/>
              </w:rPr>
            </w:pPr>
            <w:r w:rsidRPr="00CD21DE">
              <w:rPr>
                <w:rFonts w:ascii="Cambria" w:hAnsi="Cambria" w:cs="Arial"/>
                <w:sz w:val="20"/>
                <w:szCs w:val="20"/>
              </w:rPr>
              <w:t>každé svítidlo označeno unikátním QR kódem s dohledáním přesného typu přes web nebo v aplikaci</w:t>
            </w:r>
          </w:p>
        </w:tc>
        <w:tc>
          <w:tcPr>
            <w:tcW w:w="1134" w:type="dxa"/>
            <w:vAlign w:val="center"/>
          </w:tcPr>
          <w:p w14:paraId="0245948E" w14:textId="5CDD58F0" w:rsidR="00B76C74" w:rsidRPr="00CD21DE" w:rsidRDefault="00B76C74" w:rsidP="00B76C74">
            <w:pPr>
              <w:jc w:val="center"/>
              <w:rPr>
                <w:rFonts w:ascii="Cambria" w:hAnsi="Cambria" w:cs="Calibri"/>
                <w:sz w:val="20"/>
                <w:szCs w:val="20"/>
              </w:rPr>
            </w:pPr>
            <w:r w:rsidRPr="00CD21DE">
              <w:rPr>
                <w:rFonts w:ascii="Cambria" w:hAnsi="Cambria"/>
                <w:sz w:val="20"/>
                <w:szCs w:val="20"/>
              </w:rPr>
              <w:t>ANO/ NE</w:t>
            </w:r>
          </w:p>
        </w:tc>
        <w:tc>
          <w:tcPr>
            <w:tcW w:w="992" w:type="dxa"/>
            <w:vAlign w:val="center"/>
          </w:tcPr>
          <w:p w14:paraId="2B66E888" w14:textId="6D56582F" w:rsidR="00B76C74" w:rsidRPr="00CD21DE" w:rsidRDefault="00B76C74" w:rsidP="00B76C74">
            <w:pPr>
              <w:jc w:val="center"/>
              <w:rPr>
                <w:rFonts w:ascii="Cambria" w:hAnsi="Cambria"/>
                <w:sz w:val="20"/>
                <w:szCs w:val="20"/>
              </w:rPr>
            </w:pPr>
            <w:r w:rsidRPr="00CD21DE">
              <w:rPr>
                <w:rFonts w:ascii="Cambria" w:hAnsi="Cambria" w:cs="Arial CE"/>
                <w:sz w:val="20"/>
                <w:szCs w:val="20"/>
              </w:rPr>
              <w:t>ANO</w:t>
            </w:r>
          </w:p>
        </w:tc>
        <w:tc>
          <w:tcPr>
            <w:tcW w:w="1701" w:type="dxa"/>
            <w:vAlign w:val="center"/>
          </w:tcPr>
          <w:p w14:paraId="4260AD3B" w14:textId="4F4529F1" w:rsidR="00B76C74" w:rsidRPr="00CD21DE" w:rsidRDefault="00B76C74" w:rsidP="00B76C74">
            <w:pPr>
              <w:jc w:val="center"/>
              <w:rPr>
                <w:rFonts w:ascii="Cambria" w:hAnsi="Cambria" w:cs="Calibri"/>
                <w:sz w:val="20"/>
                <w:szCs w:val="20"/>
              </w:rPr>
            </w:pPr>
            <w:r w:rsidRPr="00CD21DE">
              <w:rPr>
                <w:rFonts w:ascii="Cambria" w:hAnsi="Cambria"/>
                <w:sz w:val="20"/>
                <w:szCs w:val="20"/>
              </w:rPr>
              <w:t xml:space="preserve">ANO </w:t>
            </w:r>
            <w:r w:rsidRPr="00CD21DE">
              <w:rPr>
                <w:rFonts w:ascii="Cambria" w:hAnsi="Cambria"/>
                <w:sz w:val="20"/>
                <w:szCs w:val="20"/>
              </w:rPr>
              <w:fldChar w:fldCharType="begin">
                <w:ffData>
                  <w:name w:val=""/>
                  <w:enabled/>
                  <w:calcOnExit w:val="0"/>
                  <w:checkBox>
                    <w:sizeAuto/>
                    <w:default w:val="0"/>
                  </w:checkBox>
                </w:ffData>
              </w:fldChar>
            </w:r>
            <w:r w:rsidRPr="00CD21DE">
              <w:rPr>
                <w:rFonts w:ascii="Cambria" w:hAnsi="Cambria"/>
                <w:sz w:val="20"/>
                <w:szCs w:val="20"/>
              </w:rPr>
              <w:instrText xml:space="preserve"> FORMCHECKBOX </w:instrText>
            </w:r>
            <w:r w:rsidR="00CD21DE" w:rsidRPr="00CD21DE">
              <w:rPr>
                <w:rFonts w:ascii="Cambria" w:hAnsi="Cambria"/>
                <w:sz w:val="20"/>
                <w:szCs w:val="20"/>
              </w:rPr>
            </w:r>
            <w:r w:rsidR="00CD21DE" w:rsidRPr="00CD21DE">
              <w:rPr>
                <w:rFonts w:ascii="Cambria" w:hAnsi="Cambria"/>
                <w:sz w:val="20"/>
                <w:szCs w:val="20"/>
              </w:rPr>
              <w:fldChar w:fldCharType="separate"/>
            </w:r>
            <w:r w:rsidRPr="00CD21DE">
              <w:rPr>
                <w:rFonts w:ascii="Cambria" w:hAnsi="Cambria"/>
                <w:sz w:val="20"/>
                <w:szCs w:val="20"/>
              </w:rPr>
              <w:fldChar w:fldCharType="end"/>
            </w:r>
            <w:r w:rsidRPr="00CD21DE">
              <w:rPr>
                <w:rFonts w:ascii="Cambria" w:hAnsi="Cambria"/>
                <w:sz w:val="20"/>
                <w:szCs w:val="20"/>
              </w:rPr>
              <w:t xml:space="preserve">/ NE </w:t>
            </w:r>
            <w:r w:rsidRPr="00CD21DE">
              <w:rPr>
                <w:rFonts w:ascii="Cambria" w:hAnsi="Cambria"/>
                <w:sz w:val="20"/>
                <w:szCs w:val="20"/>
              </w:rPr>
              <w:fldChar w:fldCharType="begin">
                <w:ffData>
                  <w:name w:val="Zaškrtávací6"/>
                  <w:enabled/>
                  <w:calcOnExit w:val="0"/>
                  <w:checkBox>
                    <w:sizeAuto/>
                    <w:default w:val="0"/>
                  </w:checkBox>
                </w:ffData>
              </w:fldChar>
            </w:r>
            <w:r w:rsidRPr="00CD21DE">
              <w:rPr>
                <w:rFonts w:ascii="Cambria" w:hAnsi="Cambria"/>
                <w:sz w:val="20"/>
                <w:szCs w:val="20"/>
              </w:rPr>
              <w:instrText xml:space="preserve"> FORMCHECKBOX </w:instrText>
            </w:r>
            <w:r w:rsidR="00CD21DE" w:rsidRPr="00CD21DE">
              <w:rPr>
                <w:rFonts w:ascii="Cambria" w:hAnsi="Cambria"/>
                <w:sz w:val="20"/>
                <w:szCs w:val="20"/>
              </w:rPr>
            </w:r>
            <w:r w:rsidR="00CD21DE" w:rsidRPr="00CD21DE">
              <w:rPr>
                <w:rFonts w:ascii="Cambria" w:hAnsi="Cambria"/>
                <w:sz w:val="20"/>
                <w:szCs w:val="20"/>
              </w:rPr>
              <w:fldChar w:fldCharType="separate"/>
            </w:r>
            <w:r w:rsidRPr="00CD21DE">
              <w:rPr>
                <w:rFonts w:ascii="Cambria" w:hAnsi="Cambria"/>
                <w:sz w:val="20"/>
                <w:szCs w:val="20"/>
              </w:rPr>
              <w:fldChar w:fldCharType="end"/>
            </w:r>
          </w:p>
        </w:tc>
        <w:tc>
          <w:tcPr>
            <w:tcW w:w="1418" w:type="dxa"/>
            <w:vAlign w:val="center"/>
          </w:tcPr>
          <w:p w14:paraId="11E27945" w14:textId="0E425FAC" w:rsidR="00B76C74" w:rsidRPr="00CD21DE" w:rsidRDefault="00B76C74" w:rsidP="00B76C74">
            <w:pPr>
              <w:jc w:val="center"/>
              <w:rPr>
                <w:rFonts w:ascii="Cambria" w:hAnsi="Cambria" w:cs="Calibri"/>
                <w:sz w:val="20"/>
                <w:szCs w:val="20"/>
              </w:rPr>
            </w:pPr>
            <w:r w:rsidRPr="00CD21DE">
              <w:rPr>
                <w:rFonts w:ascii="Cambria" w:hAnsi="Cambria"/>
                <w:sz w:val="20"/>
                <w:szCs w:val="20"/>
              </w:rPr>
              <w:fldChar w:fldCharType="begin">
                <w:ffData>
                  <w:name w:val="Text2"/>
                  <w:enabled/>
                  <w:calcOnExit w:val="0"/>
                  <w:textInput/>
                </w:ffData>
              </w:fldChar>
            </w:r>
            <w:r w:rsidRPr="00CD21DE">
              <w:rPr>
                <w:rFonts w:ascii="Cambria" w:hAnsi="Cambria"/>
                <w:sz w:val="20"/>
                <w:szCs w:val="20"/>
              </w:rPr>
              <w:instrText xml:space="preserve"> FORMTEXT </w:instrText>
            </w:r>
            <w:r w:rsidRPr="00CD21DE">
              <w:rPr>
                <w:rFonts w:ascii="Cambria" w:hAnsi="Cambria"/>
                <w:sz w:val="20"/>
                <w:szCs w:val="20"/>
              </w:rPr>
            </w:r>
            <w:r w:rsidRPr="00CD21DE">
              <w:rPr>
                <w:rFonts w:ascii="Cambria" w:hAnsi="Cambria"/>
                <w:sz w:val="20"/>
                <w:szCs w:val="20"/>
              </w:rPr>
              <w:fldChar w:fldCharType="separate"/>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sz w:val="20"/>
                <w:szCs w:val="20"/>
              </w:rPr>
              <w:fldChar w:fldCharType="end"/>
            </w:r>
          </w:p>
        </w:tc>
      </w:tr>
      <w:tr w:rsidR="00936335" w:rsidRPr="00CD21DE" w14:paraId="4E623935" w14:textId="77777777" w:rsidTr="00A940A8">
        <w:trPr>
          <w:trHeight w:val="517"/>
        </w:trPr>
        <w:tc>
          <w:tcPr>
            <w:tcW w:w="3801" w:type="dxa"/>
            <w:gridSpan w:val="2"/>
            <w:vAlign w:val="center"/>
          </w:tcPr>
          <w:p w14:paraId="67A540CE" w14:textId="145CA22D" w:rsidR="00936335" w:rsidRPr="00CD21DE" w:rsidRDefault="00936335" w:rsidP="00B76C74">
            <w:pPr>
              <w:jc w:val="both"/>
              <w:rPr>
                <w:rFonts w:ascii="Cambria" w:hAnsi="Cambria" w:cs="Arial"/>
                <w:sz w:val="20"/>
                <w:szCs w:val="20"/>
              </w:rPr>
            </w:pPr>
            <w:r w:rsidRPr="00CD21DE">
              <w:rPr>
                <w:rFonts w:ascii="Cambria" w:hAnsi="Cambria"/>
                <w:sz w:val="20"/>
                <w:szCs w:val="20"/>
              </w:rPr>
              <w:t>Systémové normy ISO pro výrobce svítidla-ISO 9001, ISO 14001, ISO 45001, ISO 50001</w:t>
            </w:r>
          </w:p>
        </w:tc>
        <w:tc>
          <w:tcPr>
            <w:tcW w:w="1134" w:type="dxa"/>
            <w:vAlign w:val="center"/>
          </w:tcPr>
          <w:p w14:paraId="49B40E41" w14:textId="556714B8" w:rsidR="00936335" w:rsidRPr="00CD21DE" w:rsidRDefault="00936335" w:rsidP="00B76C74">
            <w:pPr>
              <w:jc w:val="center"/>
              <w:rPr>
                <w:rFonts w:ascii="Cambria" w:hAnsi="Cambria"/>
                <w:sz w:val="20"/>
                <w:szCs w:val="20"/>
              </w:rPr>
            </w:pPr>
            <w:r w:rsidRPr="00CD21DE">
              <w:rPr>
                <w:rFonts w:ascii="Cambria" w:hAnsi="Cambria"/>
                <w:sz w:val="20"/>
                <w:szCs w:val="20"/>
              </w:rPr>
              <w:t>ANO/ NE</w:t>
            </w:r>
          </w:p>
        </w:tc>
        <w:tc>
          <w:tcPr>
            <w:tcW w:w="992" w:type="dxa"/>
            <w:vAlign w:val="center"/>
          </w:tcPr>
          <w:p w14:paraId="1B93B147" w14:textId="6E92AFEE" w:rsidR="00936335" w:rsidRPr="00CD21DE" w:rsidRDefault="00936335" w:rsidP="00B76C74">
            <w:pPr>
              <w:jc w:val="center"/>
              <w:rPr>
                <w:rFonts w:ascii="Cambria" w:hAnsi="Cambria" w:cs="Arial CE"/>
                <w:sz w:val="20"/>
                <w:szCs w:val="20"/>
              </w:rPr>
            </w:pPr>
            <w:r w:rsidRPr="00CD21DE">
              <w:rPr>
                <w:rFonts w:ascii="Cambria" w:hAnsi="Cambria" w:cs="Arial CE"/>
                <w:sz w:val="20"/>
                <w:szCs w:val="20"/>
              </w:rPr>
              <w:t>ANO</w:t>
            </w:r>
          </w:p>
        </w:tc>
        <w:tc>
          <w:tcPr>
            <w:tcW w:w="1701" w:type="dxa"/>
            <w:vAlign w:val="center"/>
          </w:tcPr>
          <w:p w14:paraId="0C04A638" w14:textId="0C743C8B" w:rsidR="00936335" w:rsidRPr="00CD21DE" w:rsidRDefault="00936335" w:rsidP="00B76C74">
            <w:pPr>
              <w:jc w:val="center"/>
              <w:rPr>
                <w:rFonts w:ascii="Cambria" w:hAnsi="Cambria"/>
                <w:sz w:val="20"/>
                <w:szCs w:val="20"/>
              </w:rPr>
            </w:pPr>
            <w:r w:rsidRPr="00CD21DE">
              <w:rPr>
                <w:rFonts w:ascii="Cambria" w:hAnsi="Cambria"/>
                <w:sz w:val="20"/>
                <w:szCs w:val="20"/>
              </w:rPr>
              <w:t xml:space="preserve">ANO </w:t>
            </w:r>
            <w:r w:rsidRPr="00CD21DE">
              <w:rPr>
                <w:rFonts w:ascii="Cambria" w:hAnsi="Cambria"/>
                <w:sz w:val="20"/>
                <w:szCs w:val="20"/>
              </w:rPr>
              <w:fldChar w:fldCharType="begin">
                <w:ffData>
                  <w:name w:val=""/>
                  <w:enabled/>
                  <w:calcOnExit w:val="0"/>
                  <w:checkBox>
                    <w:sizeAuto/>
                    <w:default w:val="0"/>
                  </w:checkBox>
                </w:ffData>
              </w:fldChar>
            </w:r>
            <w:r w:rsidRPr="00CD21DE">
              <w:rPr>
                <w:rFonts w:ascii="Cambria" w:hAnsi="Cambria"/>
                <w:sz w:val="20"/>
                <w:szCs w:val="20"/>
              </w:rPr>
              <w:instrText xml:space="preserve"> FORMCHECKBOX </w:instrText>
            </w:r>
            <w:r w:rsidR="00CD21DE" w:rsidRPr="00CD21DE">
              <w:rPr>
                <w:rFonts w:ascii="Cambria" w:hAnsi="Cambria"/>
                <w:sz w:val="20"/>
                <w:szCs w:val="20"/>
              </w:rPr>
            </w:r>
            <w:r w:rsidR="00CD21DE" w:rsidRPr="00CD21DE">
              <w:rPr>
                <w:rFonts w:ascii="Cambria" w:hAnsi="Cambria"/>
                <w:sz w:val="20"/>
                <w:szCs w:val="20"/>
              </w:rPr>
              <w:fldChar w:fldCharType="separate"/>
            </w:r>
            <w:r w:rsidRPr="00CD21DE">
              <w:rPr>
                <w:rFonts w:ascii="Cambria" w:hAnsi="Cambria"/>
                <w:sz w:val="20"/>
                <w:szCs w:val="20"/>
              </w:rPr>
              <w:fldChar w:fldCharType="end"/>
            </w:r>
            <w:r w:rsidRPr="00CD21DE">
              <w:rPr>
                <w:rFonts w:ascii="Cambria" w:hAnsi="Cambria"/>
                <w:sz w:val="20"/>
                <w:szCs w:val="20"/>
              </w:rPr>
              <w:t xml:space="preserve">/ NE </w:t>
            </w:r>
            <w:r w:rsidRPr="00CD21DE">
              <w:rPr>
                <w:rFonts w:ascii="Cambria" w:hAnsi="Cambria"/>
                <w:sz w:val="20"/>
                <w:szCs w:val="20"/>
              </w:rPr>
              <w:fldChar w:fldCharType="begin">
                <w:ffData>
                  <w:name w:val="Zaškrtávací6"/>
                  <w:enabled/>
                  <w:calcOnExit w:val="0"/>
                  <w:checkBox>
                    <w:sizeAuto/>
                    <w:default w:val="0"/>
                  </w:checkBox>
                </w:ffData>
              </w:fldChar>
            </w:r>
            <w:r w:rsidRPr="00CD21DE">
              <w:rPr>
                <w:rFonts w:ascii="Cambria" w:hAnsi="Cambria"/>
                <w:sz w:val="20"/>
                <w:szCs w:val="20"/>
              </w:rPr>
              <w:instrText xml:space="preserve"> FORMCHECKBOX </w:instrText>
            </w:r>
            <w:r w:rsidR="00CD21DE" w:rsidRPr="00CD21DE">
              <w:rPr>
                <w:rFonts w:ascii="Cambria" w:hAnsi="Cambria"/>
                <w:sz w:val="20"/>
                <w:szCs w:val="20"/>
              </w:rPr>
            </w:r>
            <w:r w:rsidR="00CD21DE" w:rsidRPr="00CD21DE">
              <w:rPr>
                <w:rFonts w:ascii="Cambria" w:hAnsi="Cambria"/>
                <w:sz w:val="20"/>
                <w:szCs w:val="20"/>
              </w:rPr>
              <w:fldChar w:fldCharType="separate"/>
            </w:r>
            <w:r w:rsidRPr="00CD21DE">
              <w:rPr>
                <w:rFonts w:ascii="Cambria" w:hAnsi="Cambria"/>
                <w:sz w:val="20"/>
                <w:szCs w:val="20"/>
              </w:rPr>
              <w:fldChar w:fldCharType="end"/>
            </w:r>
          </w:p>
        </w:tc>
        <w:tc>
          <w:tcPr>
            <w:tcW w:w="1418" w:type="dxa"/>
            <w:vAlign w:val="center"/>
          </w:tcPr>
          <w:p w14:paraId="29697961" w14:textId="6243565E" w:rsidR="00936335" w:rsidRPr="00CD21DE" w:rsidRDefault="00936335" w:rsidP="00B76C74">
            <w:pPr>
              <w:jc w:val="center"/>
              <w:rPr>
                <w:rFonts w:ascii="Cambria" w:hAnsi="Cambria"/>
                <w:sz w:val="20"/>
                <w:szCs w:val="20"/>
              </w:rPr>
            </w:pPr>
            <w:r w:rsidRPr="00CD21DE">
              <w:rPr>
                <w:rFonts w:ascii="Cambria" w:hAnsi="Cambria"/>
                <w:sz w:val="20"/>
                <w:szCs w:val="20"/>
              </w:rPr>
              <w:fldChar w:fldCharType="begin">
                <w:ffData>
                  <w:name w:val="Text2"/>
                  <w:enabled/>
                  <w:calcOnExit w:val="0"/>
                  <w:textInput/>
                </w:ffData>
              </w:fldChar>
            </w:r>
            <w:r w:rsidRPr="00CD21DE">
              <w:rPr>
                <w:rFonts w:ascii="Cambria" w:hAnsi="Cambria"/>
                <w:sz w:val="20"/>
                <w:szCs w:val="20"/>
              </w:rPr>
              <w:instrText xml:space="preserve"> FORMTEXT </w:instrText>
            </w:r>
            <w:r w:rsidRPr="00CD21DE">
              <w:rPr>
                <w:rFonts w:ascii="Cambria" w:hAnsi="Cambria"/>
                <w:sz w:val="20"/>
                <w:szCs w:val="20"/>
              </w:rPr>
            </w:r>
            <w:r w:rsidRPr="00CD21DE">
              <w:rPr>
                <w:rFonts w:ascii="Cambria" w:hAnsi="Cambria"/>
                <w:sz w:val="20"/>
                <w:szCs w:val="20"/>
              </w:rPr>
              <w:fldChar w:fldCharType="separate"/>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sz w:val="20"/>
                <w:szCs w:val="20"/>
              </w:rPr>
              <w:fldChar w:fldCharType="end"/>
            </w:r>
          </w:p>
        </w:tc>
      </w:tr>
      <w:tr w:rsidR="0018671B" w:rsidRPr="00CD21DE" w14:paraId="09B2DC4A" w14:textId="77777777" w:rsidTr="00A940A8">
        <w:trPr>
          <w:trHeight w:val="517"/>
        </w:trPr>
        <w:tc>
          <w:tcPr>
            <w:tcW w:w="3801" w:type="dxa"/>
            <w:gridSpan w:val="2"/>
            <w:vAlign w:val="center"/>
          </w:tcPr>
          <w:p w14:paraId="39FE7340" w14:textId="31C0BB58" w:rsidR="0018671B" w:rsidRPr="00CD21DE" w:rsidRDefault="0018671B" w:rsidP="0018671B">
            <w:pPr>
              <w:jc w:val="both"/>
              <w:rPr>
                <w:rFonts w:ascii="Cambria" w:hAnsi="Cambria"/>
                <w:sz w:val="20"/>
                <w:szCs w:val="20"/>
              </w:rPr>
            </w:pPr>
            <w:r w:rsidRPr="00CD21DE">
              <w:rPr>
                <w:rFonts w:ascii="Cambria" w:hAnsi="Cambria"/>
                <w:sz w:val="20"/>
                <w:szCs w:val="20"/>
              </w:rPr>
              <w:t xml:space="preserve">Celková roční spotřeba elektrické energie řešené soustavy VO </w:t>
            </w:r>
          </w:p>
        </w:tc>
        <w:tc>
          <w:tcPr>
            <w:tcW w:w="1134" w:type="dxa"/>
            <w:vAlign w:val="center"/>
          </w:tcPr>
          <w:p w14:paraId="71982368" w14:textId="0D8B3D70" w:rsidR="0018671B" w:rsidRPr="00CD21DE" w:rsidRDefault="0018671B" w:rsidP="0018671B">
            <w:pPr>
              <w:jc w:val="center"/>
              <w:rPr>
                <w:rFonts w:ascii="Cambria" w:hAnsi="Cambria"/>
                <w:sz w:val="20"/>
                <w:szCs w:val="20"/>
              </w:rPr>
            </w:pPr>
            <w:r w:rsidRPr="00CD21DE">
              <w:rPr>
                <w:rFonts w:ascii="Cambria" w:hAnsi="Cambria"/>
                <w:sz w:val="20"/>
                <w:szCs w:val="20"/>
              </w:rPr>
              <w:t>kWh</w:t>
            </w:r>
          </w:p>
        </w:tc>
        <w:tc>
          <w:tcPr>
            <w:tcW w:w="992" w:type="dxa"/>
            <w:vAlign w:val="center"/>
          </w:tcPr>
          <w:p w14:paraId="74933FB8" w14:textId="6B5F75B6" w:rsidR="0018671B" w:rsidRPr="00CD21DE" w:rsidRDefault="0018671B" w:rsidP="0018671B">
            <w:pPr>
              <w:jc w:val="center"/>
              <w:rPr>
                <w:rFonts w:ascii="Cambria" w:hAnsi="Cambria" w:cs="Arial CE"/>
                <w:sz w:val="20"/>
                <w:szCs w:val="20"/>
              </w:rPr>
            </w:pPr>
            <w:r w:rsidRPr="00CD21DE">
              <w:rPr>
                <w:rFonts w:ascii="Cambria" w:hAnsi="Cambria" w:cs="Calibri"/>
                <w:sz w:val="20"/>
                <w:szCs w:val="20"/>
              </w:rPr>
              <w:t>≥68 068</w:t>
            </w:r>
          </w:p>
        </w:tc>
        <w:tc>
          <w:tcPr>
            <w:tcW w:w="1701" w:type="dxa"/>
            <w:vAlign w:val="center"/>
          </w:tcPr>
          <w:p w14:paraId="50006842" w14:textId="3A5A6A83" w:rsidR="0018671B" w:rsidRPr="00CD21DE" w:rsidRDefault="0018671B" w:rsidP="0018671B">
            <w:pPr>
              <w:jc w:val="center"/>
              <w:rPr>
                <w:rFonts w:ascii="Cambria" w:hAnsi="Cambria"/>
                <w:sz w:val="20"/>
                <w:szCs w:val="20"/>
              </w:rPr>
            </w:pPr>
            <w:r w:rsidRPr="00CD21DE">
              <w:rPr>
                <w:rFonts w:ascii="Cambria" w:hAnsi="Cambria"/>
                <w:sz w:val="20"/>
                <w:szCs w:val="20"/>
              </w:rPr>
              <w:t xml:space="preserve">ANO </w:t>
            </w:r>
            <w:r w:rsidRPr="00CD21DE">
              <w:rPr>
                <w:rFonts w:ascii="Cambria" w:hAnsi="Cambria"/>
                <w:sz w:val="20"/>
                <w:szCs w:val="20"/>
              </w:rPr>
              <w:fldChar w:fldCharType="begin">
                <w:ffData>
                  <w:name w:val=""/>
                  <w:enabled/>
                  <w:calcOnExit w:val="0"/>
                  <w:checkBox>
                    <w:sizeAuto/>
                    <w:default w:val="0"/>
                  </w:checkBox>
                </w:ffData>
              </w:fldChar>
            </w:r>
            <w:r w:rsidRPr="00CD21DE">
              <w:rPr>
                <w:rFonts w:ascii="Cambria" w:hAnsi="Cambria"/>
                <w:sz w:val="20"/>
                <w:szCs w:val="20"/>
              </w:rPr>
              <w:instrText xml:space="preserve"> FORMCHECKBOX </w:instrText>
            </w:r>
            <w:r w:rsidR="00CD21DE" w:rsidRPr="00CD21DE">
              <w:rPr>
                <w:rFonts w:ascii="Cambria" w:hAnsi="Cambria"/>
                <w:sz w:val="20"/>
                <w:szCs w:val="20"/>
              </w:rPr>
            </w:r>
            <w:r w:rsidR="00CD21DE" w:rsidRPr="00CD21DE">
              <w:rPr>
                <w:rFonts w:ascii="Cambria" w:hAnsi="Cambria"/>
                <w:sz w:val="20"/>
                <w:szCs w:val="20"/>
              </w:rPr>
              <w:fldChar w:fldCharType="separate"/>
            </w:r>
            <w:r w:rsidRPr="00CD21DE">
              <w:rPr>
                <w:rFonts w:ascii="Cambria" w:hAnsi="Cambria"/>
                <w:sz w:val="20"/>
                <w:szCs w:val="20"/>
              </w:rPr>
              <w:fldChar w:fldCharType="end"/>
            </w:r>
            <w:r w:rsidRPr="00CD21DE">
              <w:rPr>
                <w:rFonts w:ascii="Cambria" w:hAnsi="Cambria"/>
                <w:sz w:val="20"/>
                <w:szCs w:val="20"/>
              </w:rPr>
              <w:t xml:space="preserve">/ NE </w:t>
            </w:r>
            <w:r w:rsidRPr="00CD21DE">
              <w:rPr>
                <w:rFonts w:ascii="Cambria" w:hAnsi="Cambria"/>
                <w:sz w:val="20"/>
                <w:szCs w:val="20"/>
              </w:rPr>
              <w:fldChar w:fldCharType="begin">
                <w:ffData>
                  <w:name w:val="Zaškrtávací6"/>
                  <w:enabled/>
                  <w:calcOnExit w:val="0"/>
                  <w:checkBox>
                    <w:sizeAuto/>
                    <w:default w:val="0"/>
                  </w:checkBox>
                </w:ffData>
              </w:fldChar>
            </w:r>
            <w:r w:rsidRPr="00CD21DE">
              <w:rPr>
                <w:rFonts w:ascii="Cambria" w:hAnsi="Cambria"/>
                <w:sz w:val="20"/>
                <w:szCs w:val="20"/>
              </w:rPr>
              <w:instrText xml:space="preserve"> FORMCHECKBOX </w:instrText>
            </w:r>
            <w:r w:rsidR="00CD21DE" w:rsidRPr="00CD21DE">
              <w:rPr>
                <w:rFonts w:ascii="Cambria" w:hAnsi="Cambria"/>
                <w:sz w:val="20"/>
                <w:szCs w:val="20"/>
              </w:rPr>
            </w:r>
            <w:r w:rsidR="00CD21DE" w:rsidRPr="00CD21DE">
              <w:rPr>
                <w:rFonts w:ascii="Cambria" w:hAnsi="Cambria"/>
                <w:sz w:val="20"/>
                <w:szCs w:val="20"/>
              </w:rPr>
              <w:fldChar w:fldCharType="separate"/>
            </w:r>
            <w:r w:rsidRPr="00CD21DE">
              <w:rPr>
                <w:rFonts w:ascii="Cambria" w:hAnsi="Cambria"/>
                <w:sz w:val="20"/>
                <w:szCs w:val="20"/>
              </w:rPr>
              <w:fldChar w:fldCharType="end"/>
            </w:r>
          </w:p>
        </w:tc>
        <w:tc>
          <w:tcPr>
            <w:tcW w:w="1418" w:type="dxa"/>
            <w:vAlign w:val="center"/>
          </w:tcPr>
          <w:p w14:paraId="3AAC93E7" w14:textId="6C129D2B" w:rsidR="0018671B" w:rsidRPr="00CD21DE" w:rsidRDefault="0018671B" w:rsidP="0018671B">
            <w:pPr>
              <w:jc w:val="center"/>
              <w:rPr>
                <w:rFonts w:ascii="Cambria" w:hAnsi="Cambria"/>
                <w:sz w:val="20"/>
                <w:szCs w:val="20"/>
              </w:rPr>
            </w:pPr>
            <w:r w:rsidRPr="00CD21DE">
              <w:rPr>
                <w:rFonts w:ascii="Cambria" w:hAnsi="Cambria"/>
                <w:sz w:val="20"/>
                <w:szCs w:val="20"/>
              </w:rPr>
              <w:fldChar w:fldCharType="begin">
                <w:ffData>
                  <w:name w:val="Text2"/>
                  <w:enabled/>
                  <w:calcOnExit w:val="0"/>
                  <w:textInput/>
                </w:ffData>
              </w:fldChar>
            </w:r>
            <w:r w:rsidRPr="00CD21DE">
              <w:rPr>
                <w:rFonts w:ascii="Cambria" w:hAnsi="Cambria"/>
                <w:sz w:val="20"/>
                <w:szCs w:val="20"/>
              </w:rPr>
              <w:instrText xml:space="preserve"> FORMTEXT </w:instrText>
            </w:r>
            <w:r w:rsidRPr="00CD21DE">
              <w:rPr>
                <w:rFonts w:ascii="Cambria" w:hAnsi="Cambria"/>
                <w:sz w:val="20"/>
                <w:szCs w:val="20"/>
              </w:rPr>
            </w:r>
            <w:r w:rsidRPr="00CD21DE">
              <w:rPr>
                <w:rFonts w:ascii="Cambria" w:hAnsi="Cambria"/>
                <w:sz w:val="20"/>
                <w:szCs w:val="20"/>
              </w:rPr>
              <w:fldChar w:fldCharType="separate"/>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noProof/>
                <w:sz w:val="20"/>
                <w:szCs w:val="20"/>
              </w:rPr>
              <w:t> </w:t>
            </w:r>
            <w:r w:rsidRPr="00CD21DE">
              <w:rPr>
                <w:rFonts w:ascii="Cambria" w:hAnsi="Cambria"/>
                <w:sz w:val="20"/>
                <w:szCs w:val="20"/>
              </w:rPr>
              <w:fldChar w:fldCharType="end"/>
            </w:r>
          </w:p>
        </w:tc>
      </w:tr>
    </w:tbl>
    <w:p w14:paraId="6F8E9155" w14:textId="77777777" w:rsidR="003B7F7A" w:rsidRPr="00A45266" w:rsidRDefault="003B7F7A" w:rsidP="007E7E26">
      <w:pPr>
        <w:jc w:val="both"/>
        <w:rPr>
          <w:rFonts w:ascii="Cambria" w:hAnsi="Cambria"/>
        </w:rPr>
      </w:pPr>
    </w:p>
    <w:p w14:paraId="4B6A5254" w14:textId="77777777" w:rsidR="007E7E26" w:rsidRPr="00A45266" w:rsidRDefault="007E7E26" w:rsidP="007E7E26">
      <w:pPr>
        <w:jc w:val="both"/>
        <w:rPr>
          <w:rFonts w:ascii="Cambria" w:eastAsiaTheme="minorEastAsia" w:hAnsi="Cambria"/>
          <w:sz w:val="20"/>
          <w:szCs w:val="22"/>
        </w:rPr>
      </w:pPr>
      <w:r w:rsidRPr="00A45266">
        <w:rPr>
          <w:rFonts w:ascii="Cambria" w:hAnsi="Cambria"/>
          <w:sz w:val="22"/>
        </w:rPr>
        <w:t xml:space="preserve">Já (my) níže podepsaný (í)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 čestně prohlašuji</w:t>
      </w:r>
      <w:r w:rsidR="00CD0FB5" w:rsidRPr="00A45266">
        <w:rPr>
          <w:rFonts w:ascii="Cambria" w:hAnsi="Cambria"/>
          <w:sz w:val="22"/>
        </w:rPr>
        <w:t xml:space="preserve"> </w:t>
      </w:r>
      <w:r w:rsidRPr="00A45266">
        <w:rPr>
          <w:rFonts w:ascii="Cambria" w:hAnsi="Cambria"/>
          <w:sz w:val="22"/>
        </w:rPr>
        <w:t>(</w:t>
      </w:r>
      <w:proofErr w:type="spellStart"/>
      <w:r w:rsidRPr="00A45266">
        <w:rPr>
          <w:rFonts w:ascii="Cambria" w:hAnsi="Cambria"/>
          <w:sz w:val="22"/>
        </w:rPr>
        <w:t>eme</w:t>
      </w:r>
      <w:proofErr w:type="spellEnd"/>
      <w:r w:rsidRPr="00A45266">
        <w:rPr>
          <w:rFonts w:ascii="Cambria" w:hAnsi="Cambria"/>
          <w:sz w:val="22"/>
        </w:rPr>
        <w:t xml:space="preserve">), že výše uvedené údaje jsou pravdivé, a že dodavatel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 v případě jeho výběru zadavatelem v předmětné veřejné zakázce dodá zboží přesně dle technických a obchodních podmínek ve své nabídce.</w:t>
      </w:r>
    </w:p>
    <w:p w14:paraId="48E54272" w14:textId="77777777" w:rsidR="007E7E26" w:rsidRPr="00A45266" w:rsidRDefault="007E7E26" w:rsidP="007E7E26">
      <w:pPr>
        <w:rPr>
          <w:rFonts w:ascii="Cambria" w:hAnsi="Cambria"/>
          <w:sz w:val="22"/>
        </w:rPr>
      </w:pPr>
    </w:p>
    <w:p w14:paraId="1E32F8C4" w14:textId="77777777" w:rsidR="007E7E26" w:rsidRPr="00A45266" w:rsidRDefault="007E7E26" w:rsidP="007E7E26">
      <w:pPr>
        <w:rPr>
          <w:rFonts w:ascii="Cambria" w:hAnsi="Cambria"/>
          <w:sz w:val="22"/>
        </w:rPr>
      </w:pPr>
      <w:r w:rsidRPr="00A45266">
        <w:rPr>
          <w:rFonts w:ascii="Cambria" w:hAnsi="Cambria"/>
          <w:sz w:val="22"/>
        </w:rPr>
        <w:t>V</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dne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ab/>
      </w:r>
      <w:r w:rsidRPr="00A45266">
        <w:rPr>
          <w:rFonts w:ascii="Cambria" w:hAnsi="Cambria"/>
          <w:sz w:val="22"/>
        </w:rPr>
        <w:tab/>
      </w:r>
    </w:p>
    <w:p w14:paraId="247E3984"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p>
    <w:p w14:paraId="19714D47" w14:textId="77777777" w:rsidR="009514F9" w:rsidRPr="00A45266" w:rsidRDefault="009514F9" w:rsidP="007E7E26">
      <w:pPr>
        <w:rPr>
          <w:rFonts w:ascii="Cambria" w:hAnsi="Cambria"/>
          <w:sz w:val="22"/>
        </w:rPr>
      </w:pPr>
    </w:p>
    <w:p w14:paraId="2AAE6BD8"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t>_________________________________</w:t>
      </w:r>
    </w:p>
    <w:p w14:paraId="006C0927" w14:textId="77777777" w:rsidR="007E7E26" w:rsidRPr="00A45266" w:rsidRDefault="007E7E26" w:rsidP="007E7E26">
      <w:pPr>
        <w:ind w:left="4536"/>
        <w:rPr>
          <w:rFonts w:ascii="Cambria" w:hAnsi="Cambria"/>
          <w:sz w:val="22"/>
        </w:rPr>
      </w:pPr>
      <w:r w:rsidRPr="00A45266">
        <w:rPr>
          <w:rFonts w:ascii="Cambria" w:hAnsi="Cambria"/>
          <w:sz w:val="22"/>
        </w:rPr>
        <w:t>Jméno a funkce oprávněné osoby dodavatele</w:t>
      </w:r>
    </w:p>
    <w:p w14:paraId="4BA7BBD0" w14:textId="77777777" w:rsidR="00366544" w:rsidRPr="00A45266" w:rsidRDefault="007E7E26" w:rsidP="004A040F">
      <w:pPr>
        <w:ind w:left="4536"/>
        <w:rPr>
          <w:rFonts w:ascii="Cambria" w:hAnsi="Cambria"/>
          <w:sz w:val="22"/>
        </w:rPr>
      </w:pPr>
      <w:r w:rsidRPr="00A45266">
        <w:rPr>
          <w:rFonts w:ascii="Cambria" w:hAnsi="Cambria"/>
          <w:sz w:val="22"/>
        </w:rPr>
        <w:t>Razítko a podpis oprávněné osoby dodavatele</w:t>
      </w:r>
    </w:p>
    <w:sectPr w:rsidR="00366544" w:rsidRPr="00A45266" w:rsidSect="00B76C74">
      <w:pgSz w:w="11906" w:h="16838"/>
      <w:pgMar w:top="993"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25C5" w14:textId="77777777" w:rsidR="004F60CB" w:rsidRDefault="004F60CB" w:rsidP="004725E6">
      <w:r>
        <w:separator/>
      </w:r>
    </w:p>
  </w:endnote>
  <w:endnote w:type="continuationSeparator" w:id="0">
    <w:p w14:paraId="5D59146C" w14:textId="77777777" w:rsidR="004F60CB" w:rsidRDefault="004F60CB" w:rsidP="0047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938" w14:textId="77777777" w:rsidR="004F60CB" w:rsidRDefault="004F60CB" w:rsidP="004725E6">
      <w:r>
        <w:separator/>
      </w:r>
    </w:p>
  </w:footnote>
  <w:footnote w:type="continuationSeparator" w:id="0">
    <w:p w14:paraId="6D01C0F9" w14:textId="77777777" w:rsidR="004F60CB" w:rsidRDefault="004F60CB" w:rsidP="0047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C2124"/>
    <w:multiLevelType w:val="hybridMultilevel"/>
    <w:tmpl w:val="666A7AA2"/>
    <w:lvl w:ilvl="0" w:tplc="492A2204">
      <w:numFmt w:val="bullet"/>
      <w:lvlText w:val=""/>
      <w:lvlJc w:val="left"/>
      <w:pPr>
        <w:ind w:left="720" w:hanging="360"/>
      </w:pPr>
      <w:rPr>
        <w:rFonts w:ascii="Wingdings" w:eastAsiaTheme="minorHAns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3477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07"/>
    <w:rsid w:val="00007216"/>
    <w:rsid w:val="0001197E"/>
    <w:rsid w:val="00012F11"/>
    <w:rsid w:val="0001333D"/>
    <w:rsid w:val="000255D0"/>
    <w:rsid w:val="00031C28"/>
    <w:rsid w:val="00040A66"/>
    <w:rsid w:val="000438B5"/>
    <w:rsid w:val="00047879"/>
    <w:rsid w:val="00054C72"/>
    <w:rsid w:val="00067C95"/>
    <w:rsid w:val="00071380"/>
    <w:rsid w:val="00073B98"/>
    <w:rsid w:val="000778C0"/>
    <w:rsid w:val="00094483"/>
    <w:rsid w:val="00097A6B"/>
    <w:rsid w:val="000B2389"/>
    <w:rsid w:val="000B374C"/>
    <w:rsid w:val="000B4337"/>
    <w:rsid w:val="000C55C3"/>
    <w:rsid w:val="000C64C7"/>
    <w:rsid w:val="000C65D8"/>
    <w:rsid w:val="000E3CEA"/>
    <w:rsid w:val="00113622"/>
    <w:rsid w:val="001246E9"/>
    <w:rsid w:val="00125F97"/>
    <w:rsid w:val="00130E29"/>
    <w:rsid w:val="00135A26"/>
    <w:rsid w:val="00145305"/>
    <w:rsid w:val="00156DFA"/>
    <w:rsid w:val="0017348E"/>
    <w:rsid w:val="00174CC0"/>
    <w:rsid w:val="00175780"/>
    <w:rsid w:val="00183CDB"/>
    <w:rsid w:val="0018671B"/>
    <w:rsid w:val="001C626D"/>
    <w:rsid w:val="001E4B25"/>
    <w:rsid w:val="001E5CEA"/>
    <w:rsid w:val="001F4320"/>
    <w:rsid w:val="00212C42"/>
    <w:rsid w:val="002247BC"/>
    <w:rsid w:val="00227F35"/>
    <w:rsid w:val="00236E80"/>
    <w:rsid w:val="00245619"/>
    <w:rsid w:val="00245746"/>
    <w:rsid w:val="00273DF2"/>
    <w:rsid w:val="00292BE9"/>
    <w:rsid w:val="002B3338"/>
    <w:rsid w:val="002B668B"/>
    <w:rsid w:val="002C0CA7"/>
    <w:rsid w:val="002C2759"/>
    <w:rsid w:val="002D0E4F"/>
    <w:rsid w:val="002D4B8F"/>
    <w:rsid w:val="002E1E78"/>
    <w:rsid w:val="00301A01"/>
    <w:rsid w:val="00302BA8"/>
    <w:rsid w:val="00312BA2"/>
    <w:rsid w:val="003140B6"/>
    <w:rsid w:val="0032671A"/>
    <w:rsid w:val="003450CC"/>
    <w:rsid w:val="00350ED3"/>
    <w:rsid w:val="00361C7A"/>
    <w:rsid w:val="00366544"/>
    <w:rsid w:val="003870B3"/>
    <w:rsid w:val="003B0F4F"/>
    <w:rsid w:val="003B7F7A"/>
    <w:rsid w:val="003D0ECF"/>
    <w:rsid w:val="003D6EEE"/>
    <w:rsid w:val="003F081C"/>
    <w:rsid w:val="003F366A"/>
    <w:rsid w:val="004317E9"/>
    <w:rsid w:val="0043426D"/>
    <w:rsid w:val="004612F1"/>
    <w:rsid w:val="00464E3B"/>
    <w:rsid w:val="00467681"/>
    <w:rsid w:val="004725E6"/>
    <w:rsid w:val="00496377"/>
    <w:rsid w:val="00496B7D"/>
    <w:rsid w:val="004A040F"/>
    <w:rsid w:val="004B17EA"/>
    <w:rsid w:val="004C3D83"/>
    <w:rsid w:val="004E137B"/>
    <w:rsid w:val="004E1B8C"/>
    <w:rsid w:val="004E1C81"/>
    <w:rsid w:val="004E5B51"/>
    <w:rsid w:val="004F60CB"/>
    <w:rsid w:val="00503CC1"/>
    <w:rsid w:val="00510409"/>
    <w:rsid w:val="005179A0"/>
    <w:rsid w:val="005568EE"/>
    <w:rsid w:val="00561A13"/>
    <w:rsid w:val="00562729"/>
    <w:rsid w:val="00587365"/>
    <w:rsid w:val="005943AD"/>
    <w:rsid w:val="00595F1F"/>
    <w:rsid w:val="005A57F2"/>
    <w:rsid w:val="005B30EE"/>
    <w:rsid w:val="005B6225"/>
    <w:rsid w:val="005C4B35"/>
    <w:rsid w:val="005D635D"/>
    <w:rsid w:val="005E443A"/>
    <w:rsid w:val="005E7E32"/>
    <w:rsid w:val="00601717"/>
    <w:rsid w:val="0061362B"/>
    <w:rsid w:val="00616794"/>
    <w:rsid w:val="00623145"/>
    <w:rsid w:val="00631808"/>
    <w:rsid w:val="006558AE"/>
    <w:rsid w:val="00662C6A"/>
    <w:rsid w:val="00664462"/>
    <w:rsid w:val="00664AD3"/>
    <w:rsid w:val="006740D6"/>
    <w:rsid w:val="00680092"/>
    <w:rsid w:val="00684464"/>
    <w:rsid w:val="00686D1F"/>
    <w:rsid w:val="00691970"/>
    <w:rsid w:val="0069209A"/>
    <w:rsid w:val="00692C41"/>
    <w:rsid w:val="00694495"/>
    <w:rsid w:val="006B3D29"/>
    <w:rsid w:val="006B69F1"/>
    <w:rsid w:val="006E7EDC"/>
    <w:rsid w:val="00704CBE"/>
    <w:rsid w:val="00705F44"/>
    <w:rsid w:val="007066AC"/>
    <w:rsid w:val="0070709F"/>
    <w:rsid w:val="0072335B"/>
    <w:rsid w:val="00724D5B"/>
    <w:rsid w:val="007422F5"/>
    <w:rsid w:val="0074242A"/>
    <w:rsid w:val="00764776"/>
    <w:rsid w:val="00782908"/>
    <w:rsid w:val="00793ACE"/>
    <w:rsid w:val="007961AE"/>
    <w:rsid w:val="007B76A3"/>
    <w:rsid w:val="007C7D28"/>
    <w:rsid w:val="007E7E26"/>
    <w:rsid w:val="008018A0"/>
    <w:rsid w:val="00825233"/>
    <w:rsid w:val="00850CCB"/>
    <w:rsid w:val="00853DB6"/>
    <w:rsid w:val="00857BBD"/>
    <w:rsid w:val="008657B0"/>
    <w:rsid w:val="00870911"/>
    <w:rsid w:val="00873D53"/>
    <w:rsid w:val="008913ED"/>
    <w:rsid w:val="00894A68"/>
    <w:rsid w:val="008A33F8"/>
    <w:rsid w:val="008B19F5"/>
    <w:rsid w:val="008D23EE"/>
    <w:rsid w:val="008D251D"/>
    <w:rsid w:val="008E02DF"/>
    <w:rsid w:val="009109E8"/>
    <w:rsid w:val="00936335"/>
    <w:rsid w:val="009406D8"/>
    <w:rsid w:val="009514F9"/>
    <w:rsid w:val="00953F0C"/>
    <w:rsid w:val="009550FE"/>
    <w:rsid w:val="00957925"/>
    <w:rsid w:val="009776A3"/>
    <w:rsid w:val="00981D73"/>
    <w:rsid w:val="00982AC5"/>
    <w:rsid w:val="00983D70"/>
    <w:rsid w:val="009978F8"/>
    <w:rsid w:val="009A52BE"/>
    <w:rsid w:val="009A5C79"/>
    <w:rsid w:val="009A6B53"/>
    <w:rsid w:val="009B3EBA"/>
    <w:rsid w:val="009B67DB"/>
    <w:rsid w:val="009C45D5"/>
    <w:rsid w:val="009C693C"/>
    <w:rsid w:val="009D3CF1"/>
    <w:rsid w:val="009D428D"/>
    <w:rsid w:val="009F4339"/>
    <w:rsid w:val="009F6406"/>
    <w:rsid w:val="009F7F2E"/>
    <w:rsid w:val="00A06FB2"/>
    <w:rsid w:val="00A3663A"/>
    <w:rsid w:val="00A368CC"/>
    <w:rsid w:val="00A45266"/>
    <w:rsid w:val="00A47FCE"/>
    <w:rsid w:val="00A57889"/>
    <w:rsid w:val="00A61867"/>
    <w:rsid w:val="00A940A8"/>
    <w:rsid w:val="00AA0E94"/>
    <w:rsid w:val="00AA52F5"/>
    <w:rsid w:val="00AC2CED"/>
    <w:rsid w:val="00AE3030"/>
    <w:rsid w:val="00AF1496"/>
    <w:rsid w:val="00AF5C0E"/>
    <w:rsid w:val="00B074C4"/>
    <w:rsid w:val="00B177CB"/>
    <w:rsid w:val="00B275DA"/>
    <w:rsid w:val="00B54107"/>
    <w:rsid w:val="00B76C74"/>
    <w:rsid w:val="00B8063F"/>
    <w:rsid w:val="00B82709"/>
    <w:rsid w:val="00BA5ACD"/>
    <w:rsid w:val="00BB083A"/>
    <w:rsid w:val="00BB2ED5"/>
    <w:rsid w:val="00BB343A"/>
    <w:rsid w:val="00BB45A4"/>
    <w:rsid w:val="00BB4F60"/>
    <w:rsid w:val="00BB5E6A"/>
    <w:rsid w:val="00BC1849"/>
    <w:rsid w:val="00BC3B64"/>
    <w:rsid w:val="00BC5952"/>
    <w:rsid w:val="00BD2805"/>
    <w:rsid w:val="00BD7C0E"/>
    <w:rsid w:val="00BF0540"/>
    <w:rsid w:val="00C02455"/>
    <w:rsid w:val="00C04826"/>
    <w:rsid w:val="00C05B91"/>
    <w:rsid w:val="00C11A46"/>
    <w:rsid w:val="00C35C6E"/>
    <w:rsid w:val="00C37DD4"/>
    <w:rsid w:val="00C71B98"/>
    <w:rsid w:val="00C721B3"/>
    <w:rsid w:val="00C73332"/>
    <w:rsid w:val="00C83D92"/>
    <w:rsid w:val="00C91EC4"/>
    <w:rsid w:val="00C94A7E"/>
    <w:rsid w:val="00CB0A2D"/>
    <w:rsid w:val="00CD0FB5"/>
    <w:rsid w:val="00CD21DE"/>
    <w:rsid w:val="00CE29EA"/>
    <w:rsid w:val="00CE6713"/>
    <w:rsid w:val="00CF0AA2"/>
    <w:rsid w:val="00D0115D"/>
    <w:rsid w:val="00D16208"/>
    <w:rsid w:val="00D1652F"/>
    <w:rsid w:val="00D220C8"/>
    <w:rsid w:val="00D56315"/>
    <w:rsid w:val="00D67D92"/>
    <w:rsid w:val="00D97590"/>
    <w:rsid w:val="00DA0F62"/>
    <w:rsid w:val="00DA697F"/>
    <w:rsid w:val="00DC4FC8"/>
    <w:rsid w:val="00DC6C51"/>
    <w:rsid w:val="00DE0C50"/>
    <w:rsid w:val="00DE7DC8"/>
    <w:rsid w:val="00DF3AE5"/>
    <w:rsid w:val="00DF5CBF"/>
    <w:rsid w:val="00DF65AD"/>
    <w:rsid w:val="00E247ED"/>
    <w:rsid w:val="00E33CDE"/>
    <w:rsid w:val="00E571F9"/>
    <w:rsid w:val="00E603F9"/>
    <w:rsid w:val="00E72DB3"/>
    <w:rsid w:val="00E82319"/>
    <w:rsid w:val="00E901D8"/>
    <w:rsid w:val="00E94078"/>
    <w:rsid w:val="00E94222"/>
    <w:rsid w:val="00EA07FD"/>
    <w:rsid w:val="00EA0FD3"/>
    <w:rsid w:val="00EA380B"/>
    <w:rsid w:val="00EB302F"/>
    <w:rsid w:val="00ED75AD"/>
    <w:rsid w:val="00ED7C16"/>
    <w:rsid w:val="00EF27B9"/>
    <w:rsid w:val="00F00754"/>
    <w:rsid w:val="00F05FEC"/>
    <w:rsid w:val="00F267D5"/>
    <w:rsid w:val="00F307F8"/>
    <w:rsid w:val="00F31A48"/>
    <w:rsid w:val="00F55FDD"/>
    <w:rsid w:val="00F57919"/>
    <w:rsid w:val="00F64846"/>
    <w:rsid w:val="00F7256A"/>
    <w:rsid w:val="00FA5CE5"/>
    <w:rsid w:val="00FB0ED4"/>
    <w:rsid w:val="00FC2D07"/>
    <w:rsid w:val="00FD4387"/>
    <w:rsid w:val="00FE1B0F"/>
    <w:rsid w:val="00FF7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F93A5"/>
  <w15:docId w15:val="{13B55E76-E3C5-4A4D-9310-CE16D45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4630">
      <w:bodyDiv w:val="1"/>
      <w:marLeft w:val="0"/>
      <w:marRight w:val="0"/>
      <w:marTop w:val="0"/>
      <w:marBottom w:val="0"/>
      <w:divBdr>
        <w:top w:val="none" w:sz="0" w:space="0" w:color="auto"/>
        <w:left w:val="none" w:sz="0" w:space="0" w:color="auto"/>
        <w:bottom w:val="none" w:sz="0" w:space="0" w:color="auto"/>
        <w:right w:val="none" w:sz="0" w:space="0" w:color="auto"/>
      </w:divBdr>
    </w:div>
    <w:div w:id="459540763">
      <w:bodyDiv w:val="1"/>
      <w:marLeft w:val="0"/>
      <w:marRight w:val="0"/>
      <w:marTop w:val="0"/>
      <w:marBottom w:val="0"/>
      <w:divBdr>
        <w:top w:val="none" w:sz="0" w:space="0" w:color="auto"/>
        <w:left w:val="none" w:sz="0" w:space="0" w:color="auto"/>
        <w:bottom w:val="none" w:sz="0" w:space="0" w:color="auto"/>
        <w:right w:val="none" w:sz="0" w:space="0" w:color="auto"/>
      </w:divBdr>
    </w:div>
    <w:div w:id="18928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C6B2-80E5-4D5B-B2AE-C4CDE883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1212</Words>
  <Characters>7155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Vendy</dc:creator>
  <cp:lastModifiedBy>Petr Frömel</cp:lastModifiedBy>
  <cp:revision>5</cp:revision>
  <dcterms:created xsi:type="dcterms:W3CDTF">2023-09-13T07:23:00Z</dcterms:created>
  <dcterms:modified xsi:type="dcterms:W3CDTF">2023-09-26T06:43:00Z</dcterms:modified>
</cp:coreProperties>
</file>