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horzAnchor="margin" w:tblpY="291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52397E" w:rsidRPr="00453D7B" w:rsidTr="00605166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397E" w:rsidRPr="00E5044E" w:rsidRDefault="0052397E" w:rsidP="00605166">
            <w:pPr>
              <w:widowControl w:val="0"/>
              <w:spacing w:before="120"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Zadavatel: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4"/>
              </w:rPr>
              <w:t>Oborová zdravotní pojišťovna zaměstnanců bank, pojišťoven a stavebnictví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Se sídlem: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Praha 4, Roškotova 1225/1, PSČ: 140 00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IČO: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471 14 321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52397E" w:rsidRPr="00E5044E" w:rsidRDefault="0052397E" w:rsidP="00605166">
            <w:pPr>
              <w:widowControl w:val="0"/>
              <w:spacing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Veřejná zakázka: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i/>
                <w:szCs w:val="24"/>
              </w:rPr>
            </w:pP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„</w:t>
            </w:r>
            <w:r>
              <w:rPr>
                <w:rFonts w:ascii="Palatino Linotype" w:hAnsi="Palatino Linotype" w:cs="Arial"/>
                <w:b/>
                <w:i/>
                <w:sz w:val="22"/>
                <w:szCs w:val="22"/>
              </w:rPr>
              <w:t>Výstavba, implementace a technická podpora Integrovaného Centrálního Informačního Systému (ICIS) OZP</w:t>
            </w: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“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52397E" w:rsidRPr="00453D7B" w:rsidRDefault="0052397E" w:rsidP="00605166">
            <w:pPr>
              <w:widowControl w:val="0"/>
              <w:spacing w:after="120"/>
              <w:jc w:val="center"/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zadávaná v otevřeném řízení souladu s </w:t>
            </w:r>
            <w:proofErr w:type="spellStart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ust</w:t>
            </w:r>
            <w:proofErr w:type="spellEnd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. 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§ 2</w:t>
            </w:r>
            <w:r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7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 xml:space="preserve"> zákona č. 137/2006 Sb., o veřejných zakázkách,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ve znění pozdějších předpisů</w:t>
            </w:r>
          </w:p>
        </w:tc>
      </w:tr>
    </w:tbl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  <w:r w:rsidRPr="00453D7B">
        <w:rPr>
          <w:rFonts w:ascii="Palatino Linotype" w:hAnsi="Palatino Linotype" w:cs="Arial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zastupující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zastupování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Např. Jan Novák, zmocněný na základě plné moci ze dne </w:t>
            </w:r>
            <w:r>
              <w:rPr>
                <w:rFonts w:ascii="Palatino Linotype" w:hAnsi="Palatino Linotype" w:cs="Arial"/>
                <w:i/>
                <w:sz w:val="22"/>
                <w:szCs w:val="22"/>
              </w:rPr>
              <w:t>….</w:t>
            </w: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, </w:t>
            </w:r>
            <w:r w:rsidRPr="00553509">
              <w:rPr>
                <w:rFonts w:ascii="Palatino Linotype" w:hAnsi="Palatino Linotype"/>
                <w:i/>
                <w:sz w:val="22"/>
                <w:szCs w:val="22"/>
              </w:rPr>
              <w:t xml:space="preserve">která tvoří přílohu č. …. </w:t>
            </w:r>
            <w:proofErr w:type="gramStart"/>
            <w:r>
              <w:rPr>
                <w:rFonts w:ascii="Palatino Linotype" w:hAnsi="Palatino Linotype"/>
                <w:i/>
                <w:sz w:val="22"/>
                <w:szCs w:val="22"/>
              </w:rPr>
              <w:t>nabídky</w:t>
            </w:r>
            <w:proofErr w:type="gramEnd"/>
          </w:p>
          <w:p w:rsidR="0052397E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</w:p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nebo</w:t>
            </w:r>
          </w:p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Jan Novák, člen statutárního orgánu</w:t>
            </w:r>
          </w:p>
        </w:tc>
      </w:tr>
    </w:tbl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(dále jen „</w:t>
      </w:r>
      <w:r w:rsidRPr="009C2CB6">
        <w:rPr>
          <w:rFonts w:ascii="Palatino Linotype" w:hAnsi="Palatino Linotype" w:cs="Arial"/>
          <w:bCs/>
          <w:i/>
          <w:sz w:val="22"/>
          <w:szCs w:val="22"/>
        </w:rPr>
        <w:t>dodavatel</w:t>
      </w:r>
      <w:r w:rsidRPr="00453D7B">
        <w:rPr>
          <w:rFonts w:ascii="Palatino Linotype" w:hAnsi="Palatino Linotype" w:cs="Arial"/>
          <w:bCs/>
          <w:sz w:val="22"/>
          <w:szCs w:val="22"/>
        </w:rPr>
        <w:t>“),</w:t>
      </w: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E5044E">
        <w:rPr>
          <w:rFonts w:ascii="Palatino Linotype" w:hAnsi="Palatino Linotype" w:cs="Arial"/>
          <w:bCs/>
          <w:sz w:val="22"/>
          <w:szCs w:val="22"/>
        </w:rPr>
        <w:t xml:space="preserve">pro účely </w:t>
      </w:r>
      <w:r>
        <w:rPr>
          <w:rFonts w:ascii="Palatino Linotype" w:hAnsi="Palatino Linotype" w:cs="Arial"/>
          <w:bCs/>
          <w:sz w:val="22"/>
          <w:szCs w:val="22"/>
        </w:rPr>
        <w:t xml:space="preserve">hodnocení nabídek v rámci dílčího hodnotícího kritéria „Technická úroveň navrženého řešení“ v rámci </w:t>
      </w:r>
      <w:r w:rsidRPr="00E5044E">
        <w:rPr>
          <w:rFonts w:ascii="Palatino Linotype" w:hAnsi="Palatino Linotype" w:cs="Arial"/>
          <w:bCs/>
          <w:sz w:val="22"/>
          <w:szCs w:val="22"/>
        </w:rPr>
        <w:t xml:space="preserve">veřejné zakázky </w:t>
      </w:r>
      <w:r w:rsidRPr="007C3A69">
        <w:rPr>
          <w:rFonts w:ascii="Palatino Linotype" w:hAnsi="Palatino Linotype"/>
          <w:bCs/>
          <w:sz w:val="22"/>
          <w:szCs w:val="22"/>
        </w:rPr>
        <w:t>s</w:t>
      </w:r>
      <w:r>
        <w:rPr>
          <w:rFonts w:ascii="Palatino Linotype" w:hAnsi="Palatino Linotype"/>
          <w:bCs/>
          <w:sz w:val="22"/>
          <w:szCs w:val="22"/>
        </w:rPr>
        <w:t> </w:t>
      </w:r>
      <w:r w:rsidRPr="007C3A69">
        <w:rPr>
          <w:rFonts w:ascii="Palatino Linotype" w:hAnsi="Palatino Linotype"/>
          <w:bCs/>
          <w:sz w:val="22"/>
          <w:szCs w:val="22"/>
        </w:rPr>
        <w:t>názvem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Pr="00453D7B">
        <w:rPr>
          <w:rFonts w:ascii="Palatino Linotype" w:hAnsi="Palatino Linotype" w:cs="Arial"/>
          <w:bCs/>
          <w:sz w:val="22"/>
          <w:szCs w:val="22"/>
        </w:rPr>
        <w:t>“</w:t>
      </w:r>
      <w:r>
        <w:rPr>
          <w:rFonts w:ascii="Palatino Linotype" w:hAnsi="Palatino Linotype" w:cs="Arial"/>
          <w:i/>
          <w:sz w:val="22"/>
          <w:szCs w:val="22"/>
        </w:rPr>
        <w:t>Výstavba, implementace a technická podpora Integrovaného Centrálního Informačního Systému (ICIS) OZP</w:t>
      </w:r>
      <w:r w:rsidRPr="00453D7B">
        <w:rPr>
          <w:rFonts w:ascii="Palatino Linotype" w:hAnsi="Palatino Linotype" w:cs="Arial"/>
          <w:bCs/>
          <w:sz w:val="22"/>
          <w:szCs w:val="22"/>
        </w:rPr>
        <w:t>”</w:t>
      </w:r>
    </w:p>
    <w:p w:rsidR="0052397E" w:rsidRDefault="0052397E" w:rsidP="0052397E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jc w:val="center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/>
          <w:bCs/>
          <w:sz w:val="22"/>
          <w:szCs w:val="22"/>
        </w:rPr>
        <w:t>prohlašuje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ve vztahu k</w:t>
      </w:r>
      <w:r w:rsidR="004C7C02">
        <w:rPr>
          <w:rFonts w:ascii="Palatino Linotype" w:hAnsi="Palatino Linotype" w:cs="Arial"/>
          <w:b/>
          <w:bCs/>
          <w:sz w:val="22"/>
          <w:szCs w:val="22"/>
        </w:rPr>
        <w:t> dodavatelem</w:t>
      </w:r>
      <w:r>
        <w:rPr>
          <w:rFonts w:ascii="Palatino Linotype" w:hAnsi="Palatino Linotype" w:cs="Arial"/>
          <w:b/>
          <w:bCs/>
          <w:sz w:val="22"/>
          <w:szCs w:val="22"/>
        </w:rPr>
        <w:t> </w:t>
      </w:r>
      <w:r w:rsidR="004C7C02">
        <w:rPr>
          <w:rFonts w:ascii="Palatino Linotype" w:hAnsi="Palatino Linotype" w:cs="Arial"/>
          <w:b/>
          <w:bCs/>
          <w:sz w:val="22"/>
          <w:szCs w:val="22"/>
        </w:rPr>
        <w:t xml:space="preserve">nabízenému </w:t>
      </w:r>
      <w:r>
        <w:rPr>
          <w:rFonts w:ascii="Palatino Linotype" w:hAnsi="Palatino Linotype" w:cs="Arial"/>
          <w:b/>
          <w:bCs/>
          <w:sz w:val="22"/>
          <w:szCs w:val="22"/>
        </w:rPr>
        <w:t>řešení následující skutečnosti</w:t>
      </w:r>
      <w:r w:rsidRPr="00453D7B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</w:p>
    <w:p w:rsidR="009E25AD" w:rsidRDefault="009E25AD"/>
    <w:p w:rsidR="003E5F99" w:rsidRDefault="003E5F99" w:rsidP="003E5F99">
      <w:pPr>
        <w:spacing w:after="120" w:line="276" w:lineRule="auto"/>
        <w:rPr>
          <w:rFonts w:ascii="Palatino Linotype" w:hAnsi="Palatino Linotype"/>
          <w:b/>
          <w:i/>
          <w:sz w:val="22"/>
          <w:szCs w:val="22"/>
        </w:rPr>
      </w:pPr>
    </w:p>
    <w:tbl>
      <w:tblPr>
        <w:tblStyle w:val="Mkatabulky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2835"/>
        <w:gridCol w:w="2976"/>
      </w:tblGrid>
      <w:tr w:rsidR="004C7C02" w:rsidRPr="003865B0" w:rsidTr="00BC6C44">
        <w:trPr>
          <w:trHeight w:val="475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3E5F99" w:rsidRPr="00773E7F" w:rsidRDefault="003E5F99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3E5F99" w:rsidRPr="00773E7F" w:rsidRDefault="003E5F99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Palatino Linotype" w:hAnsi="Palatino Linotype" w:cs="Arial"/>
                <w:b/>
                <w:sz w:val="22"/>
                <w:szCs w:val="22"/>
              </w:rPr>
              <w:t>Konfigurovatelnost</w:t>
            </w:r>
            <w:proofErr w:type="spellEnd"/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 ASW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3E5F99" w:rsidRPr="00773E7F" w:rsidRDefault="003E5F99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3E5F99" w:rsidRPr="00773E7F" w:rsidRDefault="004C7C02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  <w:r w:rsidR="003E5F99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 </w:t>
            </w:r>
          </w:p>
        </w:tc>
      </w:tr>
      <w:tr w:rsidR="004C7C02" w:rsidRPr="003865B0" w:rsidTr="0078180E">
        <w:trPr>
          <w:trHeight w:val="809"/>
        </w:trPr>
        <w:tc>
          <w:tcPr>
            <w:tcW w:w="1101" w:type="dxa"/>
            <w:vMerge w:val="restart"/>
            <w:vAlign w:val="center"/>
          </w:tcPr>
          <w:p w:rsidR="004C7C02" w:rsidRPr="00773E7F" w:rsidRDefault="004C7C02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4C7C02" w:rsidRPr="00773E7F" w:rsidRDefault="006336E9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požaduje řešení s možností hlavní parametry ASW ICIS nastavovat bez nutnosti provádět změnu kódu. Aplikační prostředí je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lastRenderedPageBreak/>
              <w:t>nastavováno pomocí proměnných prostředí, nikoliv „natvrdo“ uvnitř aplikace (bude řešeno pomocí konfiguračních parametrů).</w:t>
            </w:r>
          </w:p>
        </w:tc>
        <w:tc>
          <w:tcPr>
            <w:tcW w:w="2835" w:type="dxa"/>
          </w:tcPr>
          <w:p w:rsidR="006336E9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Řešení je konfigurovatelné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</w:p>
          <w:p w:rsidR="004C7C02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B337D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BB12D5">
              <w:rPr>
                <w:rFonts w:ascii="Palatino Linotype" w:hAnsi="Palatino Linotype" w:cs="Arial"/>
                <w:b/>
                <w:sz w:val="22"/>
                <w:szCs w:val="22"/>
              </w:rPr>
              <w:t>umožňuje konfigurovat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minimálně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datová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lastRenderedPageBreak/>
              <w:t>rozhraní,</w:t>
            </w:r>
            <w:r w:rsidRPr="00773E7F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procesy, výstupní sestavy a reporty, logování aktivit uživatelů a číselníky.</w:t>
            </w:r>
          </w:p>
        </w:tc>
        <w:tc>
          <w:tcPr>
            <w:tcW w:w="2976" w:type="dxa"/>
            <w:vMerge w:val="restart"/>
            <w:vAlign w:val="center"/>
          </w:tcPr>
          <w:p w:rsidR="004C7C02" w:rsidRPr="0078180E" w:rsidRDefault="0078180E" w:rsidP="0078180E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4C7C02" w:rsidRPr="003865B0" w:rsidTr="004C7C02">
        <w:trPr>
          <w:trHeight w:val="213"/>
        </w:trPr>
        <w:tc>
          <w:tcPr>
            <w:tcW w:w="1101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336E9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je částečně konfigurovatelné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a částečně </w:t>
            </w:r>
            <w:r>
              <w:rPr>
                <w:rFonts w:ascii="Palatino Linotype" w:hAnsi="Palatino Linotype" w:cs="Arial"/>
                <w:sz w:val="22"/>
                <w:szCs w:val="22"/>
              </w:rPr>
              <w:t>dodavatelem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</w:p>
          <w:p w:rsidR="004C7C02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BB12D5">
              <w:rPr>
                <w:rFonts w:ascii="Palatino Linotype" w:hAnsi="Palatino Linotype" w:cs="Arial"/>
                <w:b/>
                <w:sz w:val="22"/>
                <w:szCs w:val="22"/>
              </w:rPr>
              <w:t>neumožňuje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konfigurovat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datová rozhraní.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BB12D5">
              <w:rPr>
                <w:rFonts w:ascii="Palatino Linotype" w:hAnsi="Palatino Linotype" w:cs="Arial"/>
                <w:b/>
                <w:sz w:val="22"/>
                <w:szCs w:val="22"/>
              </w:rPr>
              <w:t>umožňuje konfigurovat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 </w:t>
            </w:r>
            <w:r w:rsidRPr="00BB12D5"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minimálně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procesy, výstupní sestavy a reporty, logování aktivit uživatelů a číselníky.</w:t>
            </w:r>
          </w:p>
        </w:tc>
        <w:tc>
          <w:tcPr>
            <w:tcW w:w="2976" w:type="dxa"/>
            <w:vMerge/>
          </w:tcPr>
          <w:p w:rsidR="004C7C02" w:rsidRPr="00773E7F" w:rsidRDefault="004C7C02" w:rsidP="004C7C02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4C7C02" w:rsidRPr="003865B0" w:rsidTr="004C7C02">
        <w:trPr>
          <w:trHeight w:val="213"/>
        </w:trPr>
        <w:tc>
          <w:tcPr>
            <w:tcW w:w="1101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336E9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je částečně konfigurovatelné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a částečně </w:t>
            </w:r>
            <w:r>
              <w:rPr>
                <w:rFonts w:ascii="Palatino Linotype" w:hAnsi="Palatino Linotype" w:cs="Arial"/>
                <w:sz w:val="22"/>
                <w:szCs w:val="22"/>
              </w:rPr>
              <w:t>dodavatelem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  <w:p w:rsidR="004C7C02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930A78">
              <w:rPr>
                <w:rFonts w:ascii="Palatino Linotype" w:hAnsi="Palatino Linotype" w:cs="Arial"/>
                <w:b/>
                <w:sz w:val="22"/>
                <w:szCs w:val="22"/>
              </w:rPr>
              <w:t>neumožňuje konfigurovat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datová rozhraní a </w:t>
            </w:r>
            <w:r>
              <w:rPr>
                <w:rFonts w:ascii="Palatino Linotype" w:hAnsi="Palatino Linotype" w:cs="Arial"/>
                <w:sz w:val="22"/>
                <w:szCs w:val="22"/>
              </w:rPr>
              <w:t>logování aktivit uživatelů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605166">
              <w:rPr>
                <w:rFonts w:ascii="Palatino Linotype" w:hAnsi="Palatino Linotype" w:cs="Arial"/>
                <w:b/>
                <w:sz w:val="22"/>
                <w:szCs w:val="22"/>
              </w:rPr>
              <w:t>umožňuje konfigurovat</w:t>
            </w:r>
            <w:r w:rsidRPr="00773E7F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minimálně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výstupní sestavy a reporty,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procesy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a číselníky.</w:t>
            </w:r>
          </w:p>
        </w:tc>
        <w:tc>
          <w:tcPr>
            <w:tcW w:w="2976" w:type="dxa"/>
            <w:vMerge/>
          </w:tcPr>
          <w:p w:rsidR="004C7C02" w:rsidRPr="00773E7F" w:rsidRDefault="004C7C02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3865B0" w:rsidTr="00A77291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požaduje přímo integrovanou rozsáhlou podporu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procesů s obousměrnou vazbou na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dokladů v elektronické spisové službě a MS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Sharepoint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>, včetně podpory a automatické spolupráce s HW zařízeními a prostředky elektronické komunikace (e-mail, SMS, ISDS).</w:t>
            </w:r>
          </w:p>
        </w:tc>
        <w:tc>
          <w:tcPr>
            <w:tcW w:w="2835" w:type="dxa"/>
          </w:tcPr>
          <w:p w:rsidR="0078180E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umožňuje vytvářet různá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všech procesů ICIS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ICIS obsahuje jeden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engine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Administrace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musí být uživatelsky dostupná pracovníkům zadavatele (je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možné je uživatelsky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vytvářet nebo modelovat a nastavovat) a umožňovat grafické znázornění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procesů a tvorbu přehledových reportů.</w:t>
            </w:r>
          </w:p>
          <w:p w:rsidR="0078180E" w:rsidRPr="00773E7F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Je zajištěna automatizovaná obousměrná provázanost mezi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ICIS a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systémů stojících mimo ICIS – zejména Spisové služby, včetně předávání příslušných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metadat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3865B0" w:rsidTr="004C7C02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umožňuje vytvářet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omezenou (předem určenou) množinu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procesů ICIS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ICIS obsahuje více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engine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(například ERP systém bude mít vlastní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engine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>, BackOffice rovněž vlastní)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Administrace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musí být uživatelsky dostupná pracovníkům zadavatele (uživatelsky </w:t>
            </w:r>
            <w:r>
              <w:rPr>
                <w:rFonts w:ascii="Palatino Linotype" w:hAnsi="Palatino Linotype" w:cs="Arial"/>
                <w:sz w:val="22"/>
                <w:szCs w:val="22"/>
              </w:rPr>
              <w:t>je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nastavovat) a umožňovat grafické znázornění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procesů a tvorbu přehledových reportů.</w:t>
            </w:r>
          </w:p>
          <w:p w:rsidR="0078180E" w:rsidRPr="00773E7F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Je z</w:t>
            </w:r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ajištěna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částečná automatizace (s nutností zásahu uživatele do procesu) </w:t>
            </w:r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obousměrná provázanost mezi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 ICIS a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 systémů stojících mimo ICIS – zejména Spisové služby, včetně předávání příslušných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metadat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773E7F" w:rsidTr="00036870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773E7F" w:rsidTr="00BC6C44">
        <w:trPr>
          <w:trHeight w:val="475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Infrastruktura (HW, komunikační)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773E7F" w:rsidTr="00AD2B2C">
        <w:trPr>
          <w:trHeight w:val="809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požaduje redundantní řešení na úrovni všech technologických vrstev (HW, OS, DB a ASW) s cílem 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lastRenderedPageBreak/>
              <w:t>minimalizace rizika výpadku funkčnosti systému jako celku.</w:t>
            </w: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9512AA"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Jednotlivé technologické vrstvy nabízeného řešení jsou redundantní s minimalizací rizika 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lastRenderedPageBreak/>
              <w:t>výpadku funkčnosti systému jako celku včetně třetího místa pro geograficky oddělenou zálohu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s automatickým přechodem na oba záložní systémy, včetně automatického návratu na hlavní systém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773E7F" w:rsidTr="005A5C01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F77F61">
              <w:rPr>
                <w:rFonts w:ascii="Palatino Linotype" w:hAnsi="Palatino Linotype" w:cs="Arial"/>
                <w:sz w:val="22"/>
                <w:szCs w:val="22"/>
              </w:rPr>
              <w:t>Jednotlivé technologické vrstvy nabízeného řešení jsou redundantní s minimalizací rizika výpadku funkčnosti systému jako celku včetně třetího místa pro geograficky oddělenou zálohu ICIS s přechodem na záložní systémy vyžadujícím manuální zásah.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C94E90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zajištění monitorování vytížení a stavu systému ICIS v detailech jednotlivých vrstev na úrovni sítě, systému, databáze a aplikace. Systém ICIS bude doplněn o samostatnou komponentu, která bude zajišťovat dohled, zda ostatní části ICIS běží a fungují, zda doběhly plánované operace. Komponenta bude zajišťovat eskalace nestandardních stavů do vhodného dohledového nástroje plus SMS notifikace ve vyjmenovaných případech.</w:t>
            </w: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>
              <w:rPr>
                <w:rFonts w:ascii="Palatino Linotype" w:hAnsi="Palatino Linotype" w:cs="Arial"/>
                <w:sz w:val="22"/>
                <w:szCs w:val="22"/>
              </w:rPr>
              <w:t>obsahuje samostatnou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komponentu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pro automatické monitorování vytížení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a funkčnosti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systému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ICIS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v detailnosti jednotlivých technologických vrstev.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5A5C01">
        <w:trPr>
          <w:trHeight w:val="213"/>
        </w:trPr>
        <w:tc>
          <w:tcPr>
            <w:tcW w:w="1101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obsahuje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samostatnou komponentu pro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monitorování funkčnosti i vytížení systému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ICIS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v detailnosti jednotlivých technologických vrstev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vyžadující nastavení a vyhodnocení administrátorem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F92B79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3.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splnění parametrů sítí LAN a WAN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(viz Technická a funkční specifikace kap. B, čl. 6.).</w:t>
            </w: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plně podporuje parametry komunikační infrastruktury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5A5C01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vyžaduje posílení komunikační infrastruktury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na úrovni rozšíření pásem propustnosti.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5A5C01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vyžaduje obměnu aktivních prvků a rozšíření pásem propustnosti komunikační infrastruktury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BC6C44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06140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  Aplikační a datová architektura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7A2593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škálovatelnost ASW ICIS na úrovni HW a systémového SW v případě nárůstů požadavků na výkon. </w:t>
            </w:r>
          </w:p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je škálovatelné z hlediska skokových nárůstů objemu dat (změny počtu pojištěnců, plátců, zdravotnických zařízení, počtu dokladů) i počtu uživatelů a transakcí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konfigurací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na úrovni HW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(ne jeho obměnou)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a systémových nastavení, tj. bez nutnosti zásahu do programového kódu ASW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je škálovatelné z hlediska skokových nárůstů objemu dat (změny počtu pojištěnců, plátců, zdravotnických zařízení, počtu dokladů) i počtu uživatelů a transakcí na úrovni HW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včetně možnosti obměny či doplněním částí HW (</w:t>
            </w:r>
            <w:r w:rsidRPr="00CF0A5C">
              <w:rPr>
                <w:rFonts w:ascii="Palatino Linotype" w:hAnsi="Palatino Linotype" w:cs="Arial"/>
                <w:sz w:val="22"/>
                <w:szCs w:val="22"/>
              </w:rPr>
              <w:t>např. doplněním diskové kapacity nebo interní paměti, nikoli jeho výměnou či navýšením SW licencí o více než 10% jejich finanční hodnoty</w:t>
            </w:r>
            <w:r>
              <w:rPr>
                <w:rFonts w:ascii="Palatino Linotype" w:hAnsi="Palatino Linotype" w:cs="Arial"/>
                <w:sz w:val="22"/>
                <w:szCs w:val="22"/>
              </w:rPr>
              <w:t>)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a systémových nastavení, tj. bez nutnosti zásahu do programového kódu ASW ICIS.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3F440D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 preferuje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řešení na jedné DB platformě s cílem minimalizovat provozní náklady a náklady na licence.</w:t>
            </w: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na jedné DB platformě a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ji má zavedenu a má s ní zkušenosti.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na jedné DB platformě, ale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ji nemá zavedenu a nemá s ní zkušenosti.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Řešení je postaveno na více než jedné DB platformě.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8D2FBF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3.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ICIS jako kompaktní systém s nadstavbovými moduly nad základem standardního ERP systému a společnou databází.</w:t>
            </w: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je postaveno na standardním ERP systému 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jednou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společnou databází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na jedné platformě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na standardním ERP systému s více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fyzicky oddělenými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databázemi na jedné platformě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vytvářející společný celek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905B7A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4.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ICIS s jednotným grafickým uživatelským rozhraní</w:t>
            </w:r>
            <w:r>
              <w:rPr>
                <w:rFonts w:ascii="Palatino Linotype" w:hAnsi="Palatino Linotype" w:cs="Arial"/>
                <w:sz w:val="22"/>
                <w:szCs w:val="22"/>
              </w:rPr>
              <w:t>m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s vysokým stupněm provázanosti informací napříč aplikačními moduly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a jednotnou ergonomií ovládání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78180E" w:rsidRPr="00111ED0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 xml:space="preserve">Grafické uživatelské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rozhraní je jednotné napříč aplikačními moduly.</w:t>
            </w:r>
          </w:p>
          <w:p w:rsidR="0078180E" w:rsidRPr="00111ED0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Pro specifické uživatelské role umožňuje řešit rozhraní, resp. skladbu vstupních menu nebo </w:t>
            </w:r>
            <w:proofErr w:type="spellStart"/>
            <w:r w:rsidRPr="00111ED0">
              <w:rPr>
                <w:rFonts w:ascii="Palatino Linotype" w:hAnsi="Palatino Linotype" w:cs="Arial"/>
                <w:sz w:val="22"/>
                <w:szCs w:val="22"/>
              </w:rPr>
              <w:t>Dashboardů</w:t>
            </w:r>
            <w:proofErr w:type="spellEnd"/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postavených „na míru“ uživatelským rolím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s optimalizací pro mobilní zařízení.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454C39">
              <w:rPr>
                <w:rFonts w:ascii="Palatino Linotype" w:hAnsi="Palatino Linotype" w:cs="Arial"/>
                <w:sz w:val="22"/>
                <w:szCs w:val="22"/>
              </w:rPr>
              <w:t xml:space="preserve">Grafické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uživatelské</w:t>
            </w:r>
            <w:r w:rsidRPr="00454C39">
              <w:rPr>
                <w:rFonts w:ascii="Palatino Linotype" w:hAnsi="Palatino Linotype" w:cs="Arial"/>
                <w:sz w:val="22"/>
                <w:szCs w:val="22"/>
              </w:rPr>
              <w:t xml:space="preserve"> rozhraní je jednotné napříč aplikačními moduly. Pro specifické uživatelské role umožňuje řešit rozhraní, resp. skladbu vstupních menu nebo </w:t>
            </w:r>
            <w:proofErr w:type="spellStart"/>
            <w:r w:rsidRPr="00454C39">
              <w:rPr>
                <w:rFonts w:ascii="Palatino Linotype" w:hAnsi="Palatino Linotype" w:cs="Arial"/>
                <w:sz w:val="22"/>
                <w:szCs w:val="22"/>
              </w:rPr>
              <w:t>Dashboardů</w:t>
            </w:r>
            <w:proofErr w:type="spellEnd"/>
            <w:r w:rsidRPr="00454C39">
              <w:rPr>
                <w:rFonts w:ascii="Palatino Linotype" w:hAnsi="Palatino Linotype" w:cs="Arial"/>
                <w:sz w:val="22"/>
                <w:szCs w:val="22"/>
              </w:rPr>
              <w:t xml:space="preserve"> postavených „na míru“ uživatelským rolím bez možnosti optimalizace pro mobilní zařízení.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BC6C44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F2520B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Dimenzování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Popis způsobu splnění daného parametru (položky) dodavatelem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nabízeným řešením</w:t>
            </w:r>
          </w:p>
        </w:tc>
      </w:tr>
      <w:tr w:rsidR="0078180E" w:rsidRPr="00111ED0" w:rsidTr="006E642A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A12891">
              <w:rPr>
                <w:rFonts w:ascii="Palatino Linotype" w:hAnsi="Palatino Linotype" w:cs="Arial"/>
                <w:sz w:val="22"/>
                <w:szCs w:val="22"/>
              </w:rPr>
              <w:t xml:space="preserve"> požaduje splnění parametrů na požadovaný a podporovaný stav s požadovanými a přijatelnými hodnotami (viz Technická a funkční specifikace kap. B, čl. 3.).</w:t>
            </w:r>
          </w:p>
        </w:tc>
        <w:tc>
          <w:tcPr>
            <w:tcW w:w="2835" w:type="dxa"/>
          </w:tcPr>
          <w:p w:rsidR="0078180E" w:rsidRPr="00A12891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A12891">
              <w:rPr>
                <w:rFonts w:ascii="Palatino Linotype" w:hAnsi="Palatino Linotype" w:cs="Arial"/>
                <w:sz w:val="22"/>
                <w:szCs w:val="22"/>
              </w:rPr>
              <w:t xml:space="preserve">Řešení zajistí splnění všech parametrů na požadovaný i podporovaný stav s požadovanými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i přijatelnými </w:t>
            </w:r>
            <w:r w:rsidRPr="00A12891">
              <w:rPr>
                <w:rFonts w:ascii="Palatino Linotype" w:hAnsi="Palatino Linotype" w:cs="Arial"/>
                <w:sz w:val="22"/>
                <w:szCs w:val="22"/>
              </w:rPr>
              <w:t>hodnotami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nad rámec ZD ve všech parametrech. 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EE1F4E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A12891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A12891">
              <w:rPr>
                <w:rFonts w:ascii="Palatino Linotype" w:hAnsi="Palatino Linotype" w:cs="Arial"/>
                <w:sz w:val="22"/>
                <w:szCs w:val="22"/>
              </w:rPr>
              <w:t xml:space="preserve">Řešení zajistí splnění všech parametrů na požadovaný i podporovaný stav s požadovanými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i přijatelnými </w:t>
            </w:r>
            <w:r w:rsidRPr="00A12891">
              <w:rPr>
                <w:rFonts w:ascii="Palatino Linotype" w:hAnsi="Palatino Linotype" w:cs="Arial"/>
                <w:sz w:val="22"/>
                <w:szCs w:val="22"/>
              </w:rPr>
              <w:t>hodnotami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nad rámec ZD alespoň v několika parametrech. 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BC6C44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F2520B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Dostupnost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281595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8B7A4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požaduje </w:t>
            </w:r>
            <w:r>
              <w:rPr>
                <w:rFonts w:ascii="Palatino Linotype" w:hAnsi="Palatino Linotype" w:cs="Arial"/>
                <w:sz w:val="22"/>
                <w:szCs w:val="22"/>
              </w:rPr>
              <w:t>splnění parametrů na dostupnost: max. doba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neplánovaného výpadku systému</w:t>
            </w:r>
            <w:r>
              <w:rPr>
                <w:rFonts w:ascii="Palatino Linotype" w:hAnsi="Palatino Linotype" w:cs="Arial"/>
                <w:sz w:val="22"/>
                <w:szCs w:val="22"/>
              </w:rPr>
              <w:t>,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počet výpadků za měsíc a garantovaná doba reakce.</w:t>
            </w:r>
          </w:p>
        </w:tc>
        <w:tc>
          <w:tcPr>
            <w:tcW w:w="2835" w:type="dxa"/>
          </w:tcPr>
          <w:p w:rsidR="0078180E" w:rsidRPr="003E7663" w:rsidRDefault="0078180E" w:rsidP="008B7A4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>Řešení zajistí splnění parametrů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(max. doba neplánovaného výpadku, počet výpadků za měsíc a garantovaná doba reakce)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>nad požadovanou úroveň v</w:t>
            </w:r>
            <w:r>
              <w:rPr>
                <w:rFonts w:ascii="Palatino Linotype" w:hAnsi="Palatino Linotype" w:cs="Arial"/>
                <w:sz w:val="22"/>
                <w:szCs w:val="22"/>
              </w:rPr>
              <w:t>e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všech uvedených parametrech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1D1E09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E7663" w:rsidRDefault="0078180E" w:rsidP="008B7A4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>Řešení zajistí splnění parametrů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(max. doba neplánovaného výpadku, počet výpadků za měsíc a garantovaná doba reakce)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nad požadovanou úroveň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alespoň v jednom uvedeném parametru. 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A14ED9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požaduje splnění požadavků §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26, </w:t>
            </w:r>
            <w:proofErr w:type="spellStart"/>
            <w:r w:rsidRPr="003E7663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E7663">
              <w:rPr>
                <w:rFonts w:ascii="Palatino Linotype" w:hAnsi="Palatino Linotype" w:cs="Arial"/>
                <w:sz w:val="22"/>
                <w:szCs w:val="22"/>
              </w:rPr>
              <w:t>. 316/2014 Sb. s ohledem na implementaci nástroje/postupů pro zajišťování úrovně dostupnosti.</w:t>
            </w:r>
          </w:p>
        </w:tc>
        <w:tc>
          <w:tcPr>
            <w:tcW w:w="2835" w:type="dxa"/>
          </w:tcPr>
          <w:p w:rsidR="0078180E" w:rsidRPr="003E7663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Řešení využívá pro ochranu dostupnosti záložní systémy a obnova poskytování služeb je krátkodobá a automatizovaná. 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1D1E09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E7663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Řešení využívá pro ochranu dostupnosti záložní systémy a obnova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lastRenderedPageBreak/>
              <w:t>poskytování služeb může být podmíněna zásahy obsluhy anebo výměno</w:t>
            </w:r>
            <w:r>
              <w:rPr>
                <w:rFonts w:ascii="Palatino Linotype" w:hAnsi="Palatino Linotype" w:cs="Arial"/>
                <w:sz w:val="22"/>
                <w:szCs w:val="22"/>
              </w:rPr>
              <w:t>u technických prostředků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3365F9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F2520B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        Externí komunikace s klienty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996025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požaduje splnění požadavků na generování dokumentů ICIS s podporou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hromadných tisků s před</w:t>
            </w:r>
            <w:r>
              <w:rPr>
                <w:rFonts w:ascii="Palatino Linotype" w:hAnsi="Palatino Linotype" w:cs="Arial"/>
                <w:sz w:val="22"/>
                <w:szCs w:val="22"/>
              </w:rPr>
              <w:t>d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t>efinovanými šablonami.</w:t>
            </w: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Řešení generování dokumentů je postaveno na obecně využívaném řešení (standardu) s možností uživatelského vytváření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šablon dokumentů.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E6624E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Řešení generování dokumentů ICIS je postaveno na existujícím vlastním řešení zhotovitele s možností přizpůsobení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šablon dokumentů.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E6624E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Řešení generování dokumentů ICIS je postaveno na vlastním řešení zhotovitele s významným podílem základního vývoje při požadavcích na změnu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šablon dokumentů.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535678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požaduje převedení stávajících šablon dokumentů do ICIS.</w:t>
            </w: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>Zhotovitel podporuje formáty stávajících šablon (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openoffice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>, XSF-FO), a garantuje převod šablon dokumentů do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E6624E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>Zhotovitel nepodporuje formáty stávajících šablon (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openoffice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>, XSF-FO), ale garantuje převod šablon dokumentů do ICIS.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3365F9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E0CB9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u         </w:t>
            </w:r>
            <w:r w:rsidR="001E0CB9">
              <w:rPr>
                <w:rFonts w:ascii="Palatino Linotype" w:hAnsi="Palatino Linotype" w:cs="Arial"/>
                <w:b/>
                <w:sz w:val="22"/>
                <w:szCs w:val="22"/>
              </w:rPr>
              <w:t>Bezpečnost dat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6F05F8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zajištění 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centrálního ověřování identity (autentizaci) uživatelů a centrální řízení přístupových oprávnění splňující požadavky zákona o kybernetické bezpečnosti (viz §11, 18, 19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. 316/2014 Sb.) včetně MDM (viz odst. 3 f) §11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. 316/2014 Sb.).</w:t>
            </w: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Řešení podporuje 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lastRenderedPageBreak/>
              <w:t>centrální řízení pro ověření identity uži</w:t>
            </w:r>
            <w:r>
              <w:rPr>
                <w:rFonts w:ascii="Palatino Linotype" w:hAnsi="Palatino Linotype" w:cs="Arial"/>
                <w:sz w:val="22"/>
                <w:szCs w:val="22"/>
              </w:rPr>
              <w:t>vatelů a řízení přístupu v IDM/AI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M na technologiích MS AD, FIM/MIM a SSO včetně MDM.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Řešení podporuje centrální řízení pro ověření identity uži</w:t>
            </w:r>
            <w:r>
              <w:rPr>
                <w:rFonts w:ascii="Palatino Linotype" w:hAnsi="Palatino Linotype" w:cs="Arial"/>
                <w:sz w:val="22"/>
                <w:szCs w:val="22"/>
              </w:rPr>
              <w:t>vatelů a řízení přístupu v IDM/AI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M na technologiích MS AD, FIM/MIM a SSO bez podpory MDM.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Řešení podporuje centrální řízení pro ověření identity u</w:t>
            </w:r>
            <w:r>
              <w:rPr>
                <w:rFonts w:ascii="Palatino Linotype" w:hAnsi="Palatino Linotype" w:cs="Arial"/>
                <w:sz w:val="22"/>
                <w:szCs w:val="22"/>
              </w:rPr>
              <w:t>živatelů a řízení přístupu IDM/AI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M na jiných technologiích než MS (OIM,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OpenSSO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, JOSSO, apod.) s výjimkou MS AD, které je podmínkou.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EA6E8C" w:rsidRPr="00111ED0" w:rsidTr="000D15F2">
        <w:trPr>
          <w:trHeight w:val="213"/>
        </w:trPr>
        <w:tc>
          <w:tcPr>
            <w:tcW w:w="1101" w:type="dxa"/>
            <w:vMerge w:val="restart"/>
            <w:vAlign w:val="center"/>
          </w:tcPr>
          <w:p w:rsidR="00EA6E8C" w:rsidRPr="00773E7F" w:rsidRDefault="00EA6E8C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EA6E8C" w:rsidRDefault="00EA6E8C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podporu pro zaznamenávání činností splňující požadavky zákona o kybernetické bezpečnos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ti (viz §21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>. 316/2014 Sb.).</w:t>
            </w:r>
          </w:p>
        </w:tc>
        <w:tc>
          <w:tcPr>
            <w:tcW w:w="2835" w:type="dxa"/>
          </w:tcPr>
          <w:p w:rsidR="00EA6E8C" w:rsidRPr="003A215C" w:rsidRDefault="00EA6E8C" w:rsidP="00BC3511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disponuje odpovídajícím nástrojem splňující </w:t>
            </w:r>
            <w:r>
              <w:rPr>
                <w:rFonts w:ascii="Palatino Linotype" w:hAnsi="Palatino Linotype" w:cs="Arial"/>
                <w:sz w:val="22"/>
                <w:szCs w:val="22"/>
              </w:rPr>
              <w:t>požadavky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přílohy č. P05B požadavek ST-BZP_006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s podporou automatické detekce nežádoucích stavů</w:t>
            </w:r>
            <w:r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EA6E8C" w:rsidRPr="0078180E" w:rsidRDefault="00EA6E8C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A6E8C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EA6E8C" w:rsidRDefault="00EA6E8C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EA6E8C" w:rsidRDefault="00EA6E8C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EA6E8C" w:rsidRPr="003A215C" w:rsidRDefault="00EA6E8C" w:rsidP="00A70904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disponuje odpovídajícím nástrojem splňující </w:t>
            </w:r>
            <w:r>
              <w:rPr>
                <w:rFonts w:ascii="Palatino Linotype" w:hAnsi="Palatino Linotype" w:cs="Arial"/>
                <w:sz w:val="22"/>
                <w:szCs w:val="22"/>
              </w:rPr>
              <w:t>požadavky přílohy č. P05B požadavek ST-BZP_006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bez podpory automatické detekce nežádoucích stavů.</w:t>
            </w:r>
          </w:p>
        </w:tc>
        <w:tc>
          <w:tcPr>
            <w:tcW w:w="2976" w:type="dxa"/>
            <w:vMerge/>
          </w:tcPr>
          <w:p w:rsidR="00EA6E8C" w:rsidRPr="00111ED0" w:rsidRDefault="00EA6E8C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267C56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3.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provádění bezpečnostních testů zranitelnosti aplikací (odst. 1, §24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. 316/2014 Sb.).</w:t>
            </w: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Zhotovitel disponuje postupy a nástroji provádění bezpečnostních testů zranitelnosti aplikací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Zhotovitel disponuje postupy, ale nedisponuje nástroji provádění 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lastRenderedPageBreak/>
              <w:t>bezpečnostních testů zranitelnosti aplikací ICIS.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9E58DC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integraci systému zálohování a archivace ICIS v sys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tému EMC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Networker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>, který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má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 nasazen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Řešení bude plně využívat systém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EMC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Networker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zadavatele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pro zálohování a archivaci dat systému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bude využívat vlastní systém pro zálohování a archivaci a prostředky třetích stran bude integrováno se systémem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EMC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Networker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:rsidR="0052397E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52397E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3365F9" w:rsidRDefault="003365F9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V ……… dne……….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52397E" w:rsidRPr="00FB2350" w:rsidTr="00605166">
        <w:tc>
          <w:tcPr>
            <w:tcW w:w="4394" w:type="dxa"/>
            <w:shd w:val="clear" w:color="auto" w:fill="auto"/>
          </w:tcPr>
          <w:p w:rsidR="0052397E" w:rsidRPr="00FB2350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52397E" w:rsidRPr="00FB2350" w:rsidRDefault="0052397E" w:rsidP="00605166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52397E" w:rsidRPr="00FB2350" w:rsidRDefault="0052397E" w:rsidP="00605166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52397E" w:rsidRDefault="0052397E" w:rsidP="0052397E"/>
    <w:p w:rsidR="0052397E" w:rsidRDefault="0052397E"/>
    <w:sectPr w:rsidR="005239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E2" w:rsidRDefault="00D55BE2" w:rsidP="0052397E">
      <w:r>
        <w:separator/>
      </w:r>
    </w:p>
  </w:endnote>
  <w:endnote w:type="continuationSeparator" w:id="0">
    <w:p w:rsidR="00D55BE2" w:rsidRDefault="00D55BE2" w:rsidP="0052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E2" w:rsidRDefault="00D55BE2" w:rsidP="0052397E">
      <w:r>
        <w:separator/>
      </w:r>
    </w:p>
  </w:footnote>
  <w:footnote w:type="continuationSeparator" w:id="0">
    <w:p w:rsidR="00D55BE2" w:rsidRDefault="00D55BE2" w:rsidP="00523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97E" w:rsidRPr="00035370" w:rsidRDefault="0052397E" w:rsidP="0052397E">
    <w:pPr>
      <w:keepNext/>
      <w:widowControl w:val="0"/>
      <w:spacing w:line="276" w:lineRule="auto"/>
      <w:rPr>
        <w:rFonts w:ascii="Palatino Linotype" w:hAnsi="Palatino Linotype"/>
        <w:b/>
        <w:bCs/>
        <w:i/>
        <w:sz w:val="20"/>
        <w:u w:val="single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>
      <w:rPr>
        <w:rFonts w:ascii="Palatino Linotype" w:hAnsi="Palatino Linotype" w:cs="Arial"/>
        <w:i/>
        <w:sz w:val="20"/>
      </w:rPr>
      <w:t>10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 – </w:t>
    </w:r>
    <w:r>
      <w:rPr>
        <w:rFonts w:ascii="Palatino Linotype" w:hAnsi="Palatino Linotype" w:cs="Arial"/>
        <w:i/>
        <w:sz w:val="20"/>
      </w:rPr>
      <w:t>Tabulka pro hodnocení nabídek v dílčím hodnotícím kritériu „Technická úroveň navrženého řešení“</w:t>
    </w:r>
  </w:p>
  <w:p w:rsidR="0052397E" w:rsidRDefault="005239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3DBA"/>
    <w:multiLevelType w:val="multilevel"/>
    <w:tmpl w:val="016E105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76B669F1"/>
    <w:multiLevelType w:val="hybridMultilevel"/>
    <w:tmpl w:val="2E666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F1"/>
    <w:rsid w:val="000275B7"/>
    <w:rsid w:val="00036870"/>
    <w:rsid w:val="0006140F"/>
    <w:rsid w:val="0009318B"/>
    <w:rsid w:val="001D184C"/>
    <w:rsid w:val="001E0CB9"/>
    <w:rsid w:val="003365F9"/>
    <w:rsid w:val="003A28CF"/>
    <w:rsid w:val="003E5F99"/>
    <w:rsid w:val="00490224"/>
    <w:rsid w:val="004A58F1"/>
    <w:rsid w:val="004C7C02"/>
    <w:rsid w:val="0052397E"/>
    <w:rsid w:val="00565229"/>
    <w:rsid w:val="005A5C01"/>
    <w:rsid w:val="005B460B"/>
    <w:rsid w:val="006227EC"/>
    <w:rsid w:val="006336E9"/>
    <w:rsid w:val="00696336"/>
    <w:rsid w:val="006E59E3"/>
    <w:rsid w:val="0078180E"/>
    <w:rsid w:val="008B7A46"/>
    <w:rsid w:val="009E0D33"/>
    <w:rsid w:val="009E25AD"/>
    <w:rsid w:val="00A7387B"/>
    <w:rsid w:val="00B41970"/>
    <w:rsid w:val="00B77364"/>
    <w:rsid w:val="00BC3511"/>
    <w:rsid w:val="00BC6C44"/>
    <w:rsid w:val="00D55BE2"/>
    <w:rsid w:val="00EA6E8C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97E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E0CB9"/>
    <w:pPr>
      <w:keepNext/>
      <w:pageBreakBefore/>
      <w:numPr>
        <w:numId w:val="1"/>
      </w:numPr>
      <w:spacing w:before="120" w:after="120"/>
      <w:jc w:val="left"/>
      <w:outlineLvl w:val="0"/>
    </w:pPr>
    <w:rPr>
      <w:rFonts w:ascii="Arial" w:hAnsi="Arial"/>
      <w:b/>
      <w:bCs/>
      <w:kern w:val="32"/>
      <w:sz w:val="36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1E0CB9"/>
    <w:pPr>
      <w:keepNext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bCs/>
      <w:i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1E0CB9"/>
    <w:pPr>
      <w:keepNext/>
      <w:numPr>
        <w:ilvl w:val="2"/>
        <w:numId w:val="1"/>
      </w:numPr>
      <w:spacing w:before="80" w:after="120"/>
      <w:jc w:val="left"/>
      <w:outlineLvl w:val="2"/>
    </w:pPr>
    <w:rPr>
      <w:rFonts w:ascii="Arial" w:hAnsi="Arial"/>
      <w:b/>
      <w:bCs/>
      <w:sz w:val="28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1E0CB9"/>
    <w:pPr>
      <w:keepNext/>
      <w:numPr>
        <w:ilvl w:val="3"/>
        <w:numId w:val="1"/>
      </w:numPr>
      <w:spacing w:before="60" w:after="60"/>
      <w:jc w:val="left"/>
      <w:outlineLvl w:val="3"/>
    </w:pPr>
    <w:rPr>
      <w:rFonts w:ascii="Arial" w:hAnsi="Arial"/>
      <w:b/>
      <w:bCs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1E0CB9"/>
    <w:pPr>
      <w:numPr>
        <w:ilvl w:val="4"/>
        <w:numId w:val="1"/>
      </w:numPr>
      <w:spacing w:before="60" w:after="60"/>
      <w:jc w:val="left"/>
      <w:outlineLvl w:val="4"/>
    </w:pPr>
    <w:rPr>
      <w:rFonts w:ascii="Arial" w:hAnsi="Arial"/>
      <w:bCs/>
      <w:iCs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1E0CB9"/>
    <w:pPr>
      <w:numPr>
        <w:ilvl w:val="5"/>
        <w:numId w:val="1"/>
      </w:numPr>
      <w:spacing w:before="60" w:after="60"/>
      <w:jc w:val="left"/>
      <w:outlineLvl w:val="5"/>
    </w:pPr>
    <w:rPr>
      <w:rFonts w:ascii="Arial" w:hAnsi="Arial"/>
      <w:bCs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1E0CB9"/>
    <w:pPr>
      <w:numPr>
        <w:ilvl w:val="6"/>
        <w:numId w:val="1"/>
      </w:numPr>
      <w:spacing w:before="60" w:after="60"/>
      <w:jc w:val="left"/>
      <w:outlineLvl w:val="6"/>
    </w:pPr>
    <w:rPr>
      <w:rFonts w:ascii="Arial" w:hAnsi="Arial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1E0CB9"/>
    <w:pPr>
      <w:numPr>
        <w:ilvl w:val="7"/>
        <w:numId w:val="1"/>
      </w:numPr>
      <w:spacing w:before="60" w:after="60"/>
      <w:jc w:val="left"/>
      <w:outlineLvl w:val="7"/>
    </w:pPr>
    <w:rPr>
      <w:rFonts w:ascii="Arial" w:hAnsi="Arial"/>
      <w:iCs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1E0CB9"/>
    <w:pPr>
      <w:numPr>
        <w:ilvl w:val="8"/>
        <w:numId w:val="1"/>
      </w:numPr>
      <w:spacing w:before="60" w:after="60"/>
      <w:jc w:val="left"/>
      <w:outlineLvl w:val="8"/>
    </w:pPr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2397E"/>
  </w:style>
  <w:style w:type="paragraph" w:styleId="Zpat">
    <w:name w:val="footer"/>
    <w:basedOn w:val="Normln"/>
    <w:link w:val="Zpat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397E"/>
  </w:style>
  <w:style w:type="paragraph" w:styleId="Odstavecseseznamem">
    <w:name w:val="List Paragraph"/>
    <w:basedOn w:val="Normln"/>
    <w:link w:val="OdstavecseseznamemChar"/>
    <w:uiPriority w:val="34"/>
    <w:qFormat/>
    <w:rsid w:val="003E5F99"/>
    <w:pPr>
      <w:widowControl w:val="0"/>
      <w:ind w:left="708"/>
    </w:pPr>
    <w:rPr>
      <w:rFonts w:ascii="Times New Roman" w:eastAsia="MS Gothic" w:hAnsi="Times New Roman" w:cs="MS Gothic"/>
      <w:kern w:val="2"/>
      <w:sz w:val="21"/>
      <w:szCs w:val="21"/>
    </w:rPr>
  </w:style>
  <w:style w:type="table" w:styleId="Mkatabulky">
    <w:name w:val="Table Grid"/>
    <w:basedOn w:val="Normlntabulka"/>
    <w:uiPriority w:val="59"/>
    <w:rsid w:val="003E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E5F99"/>
    <w:rPr>
      <w:rFonts w:ascii="Times New Roman" w:eastAsia="MS Gothic" w:hAnsi="Times New Roman" w:cs="MS Gothic"/>
      <w:kern w:val="2"/>
      <w:sz w:val="21"/>
      <w:szCs w:val="21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18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D184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184C"/>
    <w:rPr>
      <w:rFonts w:ascii="Garamond" w:eastAsia="Times New Roman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18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184C"/>
    <w:rPr>
      <w:rFonts w:ascii="Garamond" w:eastAsia="Times New Roman" w:hAnsi="Garamond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18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84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1E0CB9"/>
    <w:rPr>
      <w:rFonts w:ascii="Arial" w:eastAsia="Times New Roman" w:hAnsi="Arial" w:cs="Times New Roman"/>
      <w:b/>
      <w:bCs/>
      <w:kern w:val="32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1E0CB9"/>
    <w:rPr>
      <w:rFonts w:ascii="Arial" w:eastAsia="Times New Roman" w:hAnsi="Arial" w:cs="Times New Roman"/>
      <w:b/>
      <w:bCs/>
      <w:i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1E0CB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1E0CB9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1E0CB9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1E0CB9"/>
    <w:rPr>
      <w:rFonts w:ascii="Arial" w:eastAsia="Times New Roman" w:hAnsi="Arial" w:cs="Times New Roman"/>
      <w:bCs/>
      <w:sz w:val="24"/>
    </w:rPr>
  </w:style>
  <w:style w:type="character" w:customStyle="1" w:styleId="Nadpis7Char">
    <w:name w:val="Nadpis 7 Char"/>
    <w:basedOn w:val="Standardnpsmoodstavce"/>
    <w:link w:val="Nadpis7"/>
    <w:uiPriority w:val="99"/>
    <w:rsid w:val="001E0CB9"/>
    <w:rPr>
      <w:rFonts w:ascii="Arial" w:eastAsia="Times New Roman" w:hAnsi="Arial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1E0CB9"/>
    <w:rPr>
      <w:rFonts w:ascii="Arial" w:eastAsia="Times New Roman" w:hAnsi="Arial" w:cs="Times New Roman"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1E0CB9"/>
    <w:rPr>
      <w:rFonts w:ascii="Arial" w:eastAsia="Times New Roman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97E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E0CB9"/>
    <w:pPr>
      <w:keepNext/>
      <w:pageBreakBefore/>
      <w:numPr>
        <w:numId w:val="1"/>
      </w:numPr>
      <w:spacing w:before="120" w:after="120"/>
      <w:jc w:val="left"/>
      <w:outlineLvl w:val="0"/>
    </w:pPr>
    <w:rPr>
      <w:rFonts w:ascii="Arial" w:hAnsi="Arial"/>
      <w:b/>
      <w:bCs/>
      <w:kern w:val="32"/>
      <w:sz w:val="36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1E0CB9"/>
    <w:pPr>
      <w:keepNext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bCs/>
      <w:i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1E0CB9"/>
    <w:pPr>
      <w:keepNext/>
      <w:numPr>
        <w:ilvl w:val="2"/>
        <w:numId w:val="1"/>
      </w:numPr>
      <w:spacing w:before="80" w:after="120"/>
      <w:jc w:val="left"/>
      <w:outlineLvl w:val="2"/>
    </w:pPr>
    <w:rPr>
      <w:rFonts w:ascii="Arial" w:hAnsi="Arial"/>
      <w:b/>
      <w:bCs/>
      <w:sz w:val="28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1E0CB9"/>
    <w:pPr>
      <w:keepNext/>
      <w:numPr>
        <w:ilvl w:val="3"/>
        <w:numId w:val="1"/>
      </w:numPr>
      <w:spacing w:before="60" w:after="60"/>
      <w:jc w:val="left"/>
      <w:outlineLvl w:val="3"/>
    </w:pPr>
    <w:rPr>
      <w:rFonts w:ascii="Arial" w:hAnsi="Arial"/>
      <w:b/>
      <w:bCs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1E0CB9"/>
    <w:pPr>
      <w:numPr>
        <w:ilvl w:val="4"/>
        <w:numId w:val="1"/>
      </w:numPr>
      <w:spacing w:before="60" w:after="60"/>
      <w:jc w:val="left"/>
      <w:outlineLvl w:val="4"/>
    </w:pPr>
    <w:rPr>
      <w:rFonts w:ascii="Arial" w:hAnsi="Arial"/>
      <w:bCs/>
      <w:iCs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1E0CB9"/>
    <w:pPr>
      <w:numPr>
        <w:ilvl w:val="5"/>
        <w:numId w:val="1"/>
      </w:numPr>
      <w:spacing w:before="60" w:after="60"/>
      <w:jc w:val="left"/>
      <w:outlineLvl w:val="5"/>
    </w:pPr>
    <w:rPr>
      <w:rFonts w:ascii="Arial" w:hAnsi="Arial"/>
      <w:bCs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1E0CB9"/>
    <w:pPr>
      <w:numPr>
        <w:ilvl w:val="6"/>
        <w:numId w:val="1"/>
      </w:numPr>
      <w:spacing w:before="60" w:after="60"/>
      <w:jc w:val="left"/>
      <w:outlineLvl w:val="6"/>
    </w:pPr>
    <w:rPr>
      <w:rFonts w:ascii="Arial" w:hAnsi="Arial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1E0CB9"/>
    <w:pPr>
      <w:numPr>
        <w:ilvl w:val="7"/>
        <w:numId w:val="1"/>
      </w:numPr>
      <w:spacing w:before="60" w:after="60"/>
      <w:jc w:val="left"/>
      <w:outlineLvl w:val="7"/>
    </w:pPr>
    <w:rPr>
      <w:rFonts w:ascii="Arial" w:hAnsi="Arial"/>
      <w:iCs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1E0CB9"/>
    <w:pPr>
      <w:numPr>
        <w:ilvl w:val="8"/>
        <w:numId w:val="1"/>
      </w:numPr>
      <w:spacing w:before="60" w:after="60"/>
      <w:jc w:val="left"/>
      <w:outlineLvl w:val="8"/>
    </w:pPr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2397E"/>
  </w:style>
  <w:style w:type="paragraph" w:styleId="Zpat">
    <w:name w:val="footer"/>
    <w:basedOn w:val="Normln"/>
    <w:link w:val="Zpat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397E"/>
  </w:style>
  <w:style w:type="paragraph" w:styleId="Odstavecseseznamem">
    <w:name w:val="List Paragraph"/>
    <w:basedOn w:val="Normln"/>
    <w:link w:val="OdstavecseseznamemChar"/>
    <w:uiPriority w:val="34"/>
    <w:qFormat/>
    <w:rsid w:val="003E5F99"/>
    <w:pPr>
      <w:widowControl w:val="0"/>
      <w:ind w:left="708"/>
    </w:pPr>
    <w:rPr>
      <w:rFonts w:ascii="Times New Roman" w:eastAsia="MS Gothic" w:hAnsi="Times New Roman" w:cs="MS Gothic"/>
      <w:kern w:val="2"/>
      <w:sz w:val="21"/>
      <w:szCs w:val="21"/>
    </w:rPr>
  </w:style>
  <w:style w:type="table" w:styleId="Mkatabulky">
    <w:name w:val="Table Grid"/>
    <w:basedOn w:val="Normlntabulka"/>
    <w:uiPriority w:val="59"/>
    <w:rsid w:val="003E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E5F99"/>
    <w:rPr>
      <w:rFonts w:ascii="Times New Roman" w:eastAsia="MS Gothic" w:hAnsi="Times New Roman" w:cs="MS Gothic"/>
      <w:kern w:val="2"/>
      <w:sz w:val="21"/>
      <w:szCs w:val="21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18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D184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184C"/>
    <w:rPr>
      <w:rFonts w:ascii="Garamond" w:eastAsia="Times New Roman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18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184C"/>
    <w:rPr>
      <w:rFonts w:ascii="Garamond" w:eastAsia="Times New Roman" w:hAnsi="Garamond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18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84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1E0CB9"/>
    <w:rPr>
      <w:rFonts w:ascii="Arial" w:eastAsia="Times New Roman" w:hAnsi="Arial" w:cs="Times New Roman"/>
      <w:b/>
      <w:bCs/>
      <w:kern w:val="32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1E0CB9"/>
    <w:rPr>
      <w:rFonts w:ascii="Arial" w:eastAsia="Times New Roman" w:hAnsi="Arial" w:cs="Times New Roman"/>
      <w:b/>
      <w:bCs/>
      <w:i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1E0CB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1E0CB9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1E0CB9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1E0CB9"/>
    <w:rPr>
      <w:rFonts w:ascii="Arial" w:eastAsia="Times New Roman" w:hAnsi="Arial" w:cs="Times New Roman"/>
      <w:bCs/>
      <w:sz w:val="24"/>
    </w:rPr>
  </w:style>
  <w:style w:type="character" w:customStyle="1" w:styleId="Nadpis7Char">
    <w:name w:val="Nadpis 7 Char"/>
    <w:basedOn w:val="Standardnpsmoodstavce"/>
    <w:link w:val="Nadpis7"/>
    <w:uiPriority w:val="99"/>
    <w:rsid w:val="001E0CB9"/>
    <w:rPr>
      <w:rFonts w:ascii="Arial" w:eastAsia="Times New Roman" w:hAnsi="Arial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1E0CB9"/>
    <w:rPr>
      <w:rFonts w:ascii="Arial" w:eastAsia="Times New Roman" w:hAnsi="Arial" w:cs="Times New Roman"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1E0CB9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1964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Darja Kosmáková</cp:lastModifiedBy>
  <cp:revision>3</cp:revision>
  <dcterms:created xsi:type="dcterms:W3CDTF">2016-06-08T20:57:00Z</dcterms:created>
  <dcterms:modified xsi:type="dcterms:W3CDTF">2016-06-08T20:57:00Z</dcterms:modified>
</cp:coreProperties>
</file>