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333300"/>
  <w:body>
    <w:p w:rsidR="0082053D" w:rsidRDefault="00D632A4" w:rsidP="006E4537">
      <w:pPr>
        <w:pStyle w:val="Zhlav"/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57775" cy="2200275"/>
            <wp:effectExtent l="0" t="0" r="0" b="0"/>
            <wp:docPr id="1" name="Obrázek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53D" w:rsidRDefault="0082053D" w:rsidP="0082053D">
      <w:pPr>
        <w:widowControl w:val="0"/>
        <w:jc w:val="center"/>
        <w:rPr>
          <w:rFonts w:ascii="Arial" w:hAnsi="Arial" w:cs="Arial"/>
          <w:b/>
          <w:snapToGrid w:val="0"/>
          <w:sz w:val="22"/>
        </w:rPr>
      </w:pPr>
    </w:p>
    <w:p w:rsidR="0082053D" w:rsidRDefault="0082053D" w:rsidP="0082053D">
      <w:pPr>
        <w:pStyle w:val="BodyText21"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82053D" w:rsidRDefault="0082053D" w:rsidP="0082053D">
      <w:pPr>
        <w:spacing w:line="360" w:lineRule="auto"/>
        <w:ind w:left="2832" w:hanging="283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</w:rPr>
        <w:t>STAVBA:</w:t>
      </w:r>
      <w:r>
        <w:rPr>
          <w:rFonts w:ascii="Arial" w:hAnsi="Arial" w:cs="Arial"/>
        </w:rPr>
        <w:tab/>
      </w:r>
      <w:r w:rsidR="00CE48AF">
        <w:rPr>
          <w:rFonts w:ascii="Arial" w:hAnsi="Arial" w:cs="Arial"/>
          <w:b/>
          <w:bCs/>
          <w:sz w:val="28"/>
        </w:rPr>
        <w:t>OP</w:t>
      </w:r>
      <w:r w:rsidR="00B53575">
        <w:rPr>
          <w:rFonts w:ascii="Arial" w:hAnsi="Arial" w:cs="Arial"/>
          <w:b/>
          <w:bCs/>
          <w:sz w:val="28"/>
        </w:rPr>
        <w:t>R</w:t>
      </w:r>
      <w:r w:rsidR="00CE48AF">
        <w:rPr>
          <w:rFonts w:ascii="Arial" w:hAnsi="Arial" w:cs="Arial"/>
          <w:b/>
          <w:bCs/>
          <w:sz w:val="28"/>
        </w:rPr>
        <w:t>AV</w:t>
      </w:r>
      <w:bookmarkStart w:id="0" w:name="_GoBack"/>
      <w:bookmarkEnd w:id="0"/>
      <w:r w:rsidR="00B53575">
        <w:rPr>
          <w:rFonts w:ascii="Arial" w:hAnsi="Arial" w:cs="Arial"/>
          <w:b/>
          <w:bCs/>
          <w:sz w:val="28"/>
        </w:rPr>
        <w:t>A KANALIZACE ul. A. HÁBY VIZOVICE</w:t>
      </w:r>
    </w:p>
    <w:p w:rsidR="0082053D" w:rsidRDefault="0082053D" w:rsidP="0082053D">
      <w:pPr>
        <w:spacing w:line="360" w:lineRule="auto"/>
        <w:jc w:val="both"/>
        <w:rPr>
          <w:rFonts w:ascii="Arial" w:hAnsi="Arial" w:cs="Arial"/>
          <w:b/>
        </w:rPr>
      </w:pPr>
    </w:p>
    <w:p w:rsidR="0082053D" w:rsidRDefault="0082053D" w:rsidP="0082053D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LOKALITA: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3575">
        <w:rPr>
          <w:rFonts w:ascii="Arial" w:hAnsi="Arial" w:cs="Arial"/>
          <w:b/>
          <w:sz w:val="22"/>
        </w:rPr>
        <w:t>VIZOVICE</w:t>
      </w:r>
      <w:r>
        <w:rPr>
          <w:rFonts w:ascii="Arial" w:hAnsi="Arial" w:cs="Arial"/>
          <w:b/>
          <w:sz w:val="22"/>
        </w:rPr>
        <w:tab/>
      </w:r>
    </w:p>
    <w:p w:rsidR="0082053D" w:rsidRDefault="0082053D" w:rsidP="0082053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82053D" w:rsidRDefault="0082053D" w:rsidP="0082053D">
      <w:pPr>
        <w:ind w:left="2880" w:hanging="2880"/>
        <w:jc w:val="both"/>
        <w:rPr>
          <w:rFonts w:ascii="Arial" w:hAnsi="Arial" w:cs="Arial"/>
          <w:b/>
          <w:sz w:val="22"/>
        </w:rPr>
      </w:pPr>
    </w:p>
    <w:p w:rsidR="002A0ADC" w:rsidRDefault="0082053D" w:rsidP="00F2032E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INVESTOR: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3575">
        <w:rPr>
          <w:rFonts w:ascii="Arial" w:hAnsi="Arial" w:cs="Arial"/>
          <w:b/>
        </w:rPr>
        <w:t>MĚSTO VIZOVICE</w:t>
      </w:r>
    </w:p>
    <w:p w:rsidR="0082053D" w:rsidRDefault="0082053D" w:rsidP="0082053D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2053D" w:rsidRDefault="0082053D" w:rsidP="0082053D">
      <w:pPr>
        <w:tabs>
          <w:tab w:val="left" w:pos="20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STUPEŇ: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Dokumentace </w:t>
      </w:r>
      <w:r w:rsidR="00FB1E08">
        <w:rPr>
          <w:rFonts w:ascii="Arial" w:hAnsi="Arial" w:cs="Arial"/>
          <w:b/>
        </w:rPr>
        <w:t xml:space="preserve">pro </w:t>
      </w:r>
      <w:r w:rsidR="00B53575">
        <w:rPr>
          <w:rFonts w:ascii="Arial" w:hAnsi="Arial" w:cs="Arial"/>
          <w:b/>
        </w:rPr>
        <w:t>výběr zhotovitele</w:t>
      </w:r>
    </w:p>
    <w:p w:rsidR="0082053D" w:rsidRDefault="0082053D" w:rsidP="0082053D">
      <w:pPr>
        <w:jc w:val="both"/>
        <w:rPr>
          <w:rFonts w:ascii="Arial" w:hAnsi="Arial" w:cs="Arial"/>
          <w:b/>
        </w:rPr>
      </w:pPr>
    </w:p>
    <w:p w:rsidR="0082053D" w:rsidRDefault="0082053D" w:rsidP="0082053D">
      <w:pPr>
        <w:jc w:val="both"/>
        <w:rPr>
          <w:rFonts w:ascii="Arial" w:hAnsi="Arial" w:cs="Arial"/>
          <w:b/>
        </w:rPr>
      </w:pPr>
    </w:p>
    <w:p w:rsidR="0082053D" w:rsidRDefault="0082053D" w:rsidP="00E958E1">
      <w:pPr>
        <w:ind w:left="2832" w:hanging="2832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</w:rPr>
        <w:t>OBSAH:</w:t>
      </w:r>
      <w:r>
        <w:rPr>
          <w:rFonts w:ascii="Arial" w:hAnsi="Arial" w:cs="Arial"/>
          <w:b/>
        </w:rPr>
        <w:tab/>
      </w:r>
      <w:r w:rsidR="002A0ADC">
        <w:rPr>
          <w:rFonts w:ascii="Arial" w:hAnsi="Arial" w:cs="Arial"/>
          <w:b/>
          <w:sz w:val="28"/>
        </w:rPr>
        <w:t>TECHNICKÁ ZPRÁVA</w:t>
      </w:r>
    </w:p>
    <w:p w:rsidR="0082053D" w:rsidRDefault="0082053D" w:rsidP="0082053D">
      <w:pPr>
        <w:jc w:val="both"/>
        <w:rPr>
          <w:rFonts w:ascii="Arial" w:hAnsi="Arial" w:cs="Arial"/>
          <w:b/>
        </w:rPr>
      </w:pPr>
    </w:p>
    <w:p w:rsidR="0082053D" w:rsidRDefault="0082053D" w:rsidP="0082053D">
      <w:pPr>
        <w:rPr>
          <w:rFonts w:ascii="Arial" w:hAnsi="Arial" w:cs="Arial"/>
          <w:b/>
        </w:rPr>
      </w:pPr>
    </w:p>
    <w:p w:rsidR="00AC1E04" w:rsidRDefault="00AC1E04" w:rsidP="0082053D">
      <w:pPr>
        <w:rPr>
          <w:rFonts w:ascii="Arial" w:hAnsi="Arial" w:cs="Arial"/>
          <w:b/>
        </w:rPr>
      </w:pPr>
    </w:p>
    <w:p w:rsidR="0082053D" w:rsidRDefault="0082053D" w:rsidP="008205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VYPRACOVAL: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Ing. </w:t>
      </w:r>
      <w:r w:rsidR="005F5C3C">
        <w:rPr>
          <w:rFonts w:ascii="Arial" w:hAnsi="Arial" w:cs="Arial"/>
          <w:b/>
        </w:rPr>
        <w:t>Kousalíková</w:t>
      </w:r>
    </w:p>
    <w:p w:rsidR="0082053D" w:rsidRDefault="0082053D" w:rsidP="0082053D">
      <w:pPr>
        <w:jc w:val="both"/>
        <w:rPr>
          <w:rFonts w:ascii="Arial" w:hAnsi="Arial" w:cs="Arial"/>
          <w:b/>
        </w:rPr>
      </w:pPr>
    </w:p>
    <w:p w:rsidR="0082053D" w:rsidRDefault="0082053D" w:rsidP="0082053D">
      <w:pPr>
        <w:rPr>
          <w:rFonts w:ascii="Arial" w:hAnsi="Arial" w:cs="Arial"/>
          <w:b/>
        </w:rPr>
      </w:pPr>
    </w:p>
    <w:p w:rsidR="0082053D" w:rsidRDefault="0082053D" w:rsidP="0082053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MĚSÍC/ROK: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B1E08">
        <w:rPr>
          <w:rFonts w:ascii="Arial" w:hAnsi="Arial" w:cs="Arial"/>
          <w:b/>
        </w:rPr>
        <w:t>09/2019</w:t>
      </w:r>
    </w:p>
    <w:p w:rsidR="0082053D" w:rsidRDefault="0082053D" w:rsidP="0082053D">
      <w:pPr>
        <w:tabs>
          <w:tab w:val="left" w:pos="2030"/>
        </w:tabs>
        <w:rPr>
          <w:rFonts w:ascii="Arial" w:hAnsi="Arial" w:cs="Arial"/>
          <w:b/>
        </w:rPr>
      </w:pPr>
    </w:p>
    <w:p w:rsidR="0082053D" w:rsidRDefault="0082053D" w:rsidP="0082053D">
      <w:pPr>
        <w:rPr>
          <w:rFonts w:ascii="Arial" w:hAnsi="Arial" w:cs="Arial"/>
          <w:b/>
        </w:rPr>
      </w:pPr>
    </w:p>
    <w:p w:rsidR="005F5C3C" w:rsidRDefault="0082053D" w:rsidP="008205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VYHOT.:</w:t>
      </w:r>
      <w:r>
        <w:rPr>
          <w:rFonts w:ascii="Arial" w:hAnsi="Arial" w:cs="Arial"/>
          <w:b/>
        </w:rPr>
        <w:tab/>
      </w:r>
    </w:p>
    <w:p w:rsidR="00A229CE" w:rsidRDefault="005F5C3C" w:rsidP="00FB1E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B1E08" w:rsidRDefault="00FB1E08" w:rsidP="00FB1E08">
      <w:pPr>
        <w:pStyle w:val="Odstavecseseznamem"/>
        <w:ind w:left="360"/>
        <w:rPr>
          <w:b/>
          <w:u w:val="single"/>
        </w:rPr>
      </w:pPr>
    </w:p>
    <w:p w:rsidR="00FB1E08" w:rsidRDefault="00FB1E08" w:rsidP="00FB1E08">
      <w:pPr>
        <w:spacing w:before="120"/>
        <w:rPr>
          <w:b/>
          <w:u w:val="single"/>
        </w:rPr>
      </w:pPr>
      <w:r>
        <w:rPr>
          <w:b/>
          <w:u w:val="single"/>
        </w:rPr>
        <w:t>a) Identifikační údaje stavby a investora</w:t>
      </w:r>
    </w:p>
    <w:p w:rsidR="00FB1E08" w:rsidRDefault="00FB1E08" w:rsidP="00FB1E08">
      <w:pPr>
        <w:tabs>
          <w:tab w:val="left" w:pos="2835"/>
          <w:tab w:val="left" w:pos="3119"/>
        </w:tabs>
        <w:spacing w:before="120" w:line="-240" w:lineRule="auto"/>
      </w:pPr>
    </w:p>
    <w:p w:rsidR="00FB1E08" w:rsidRPr="000E4CA3" w:rsidRDefault="00FB1E08" w:rsidP="00FB1E08">
      <w:pPr>
        <w:spacing w:line="360" w:lineRule="auto"/>
        <w:ind w:left="2552" w:hanging="2552"/>
        <w:rPr>
          <w:b/>
        </w:rPr>
      </w:pPr>
      <w:r>
        <w:t>Název stavby</w:t>
      </w:r>
      <w:r>
        <w:tab/>
      </w:r>
      <w:r>
        <w:tab/>
        <w:t xml:space="preserve">:   </w:t>
      </w:r>
      <w:r w:rsidR="00B53575">
        <w:rPr>
          <w:b/>
        </w:rPr>
        <w:t>OPRAVA KANALIZACE ul. A. HÁBY VIZOVICE</w:t>
      </w:r>
    </w:p>
    <w:p w:rsidR="00FB1E08" w:rsidRDefault="00FB1E08" w:rsidP="00FB1E08">
      <w:pPr>
        <w:tabs>
          <w:tab w:val="left" w:pos="2835"/>
          <w:tab w:val="left" w:pos="3119"/>
        </w:tabs>
        <w:spacing w:before="120" w:line="-240" w:lineRule="auto"/>
        <w:ind w:left="3119" w:hanging="3119"/>
      </w:pPr>
      <w:r>
        <w:t xml:space="preserve">Místo </w:t>
      </w:r>
      <w:proofErr w:type="gramStart"/>
      <w:r>
        <w:t xml:space="preserve">stavby </w:t>
      </w:r>
      <w:r>
        <w:tab/>
        <w:t xml:space="preserve">:    </w:t>
      </w:r>
      <w:r w:rsidR="00B53575">
        <w:rPr>
          <w:b/>
        </w:rPr>
        <w:t>VIZOVICE</w:t>
      </w:r>
      <w:proofErr w:type="gramEnd"/>
    </w:p>
    <w:p w:rsidR="00FB1E08" w:rsidRDefault="00FB1E08" w:rsidP="00FB1E08">
      <w:pPr>
        <w:tabs>
          <w:tab w:val="left" w:pos="2835"/>
          <w:tab w:val="left" w:pos="3119"/>
        </w:tabs>
        <w:spacing w:before="120" w:after="120"/>
        <w:rPr>
          <w:b/>
        </w:rPr>
      </w:pPr>
      <w:r>
        <w:t>Kraj</w:t>
      </w:r>
      <w:r>
        <w:tab/>
        <w:t>:</w:t>
      </w:r>
      <w:r>
        <w:tab/>
      </w:r>
      <w:r>
        <w:rPr>
          <w:b/>
        </w:rPr>
        <w:t>Zlínský</w:t>
      </w:r>
    </w:p>
    <w:p w:rsidR="00FB1E08" w:rsidRPr="000E4CA3" w:rsidRDefault="00FB1E08" w:rsidP="00FB1E08">
      <w:pPr>
        <w:spacing w:line="360" w:lineRule="auto"/>
        <w:ind w:left="2552" w:hanging="2552"/>
        <w:jc w:val="both"/>
        <w:rPr>
          <w:b/>
        </w:rPr>
      </w:pPr>
      <w:r>
        <w:t xml:space="preserve">Přímý </w:t>
      </w:r>
      <w:proofErr w:type="gramStart"/>
      <w:r>
        <w:t xml:space="preserve">investor                        :   </w:t>
      </w:r>
      <w:r w:rsidR="00B53575">
        <w:rPr>
          <w:b/>
        </w:rPr>
        <w:t>Město</w:t>
      </w:r>
      <w:proofErr w:type="gramEnd"/>
      <w:r w:rsidR="00B53575">
        <w:rPr>
          <w:b/>
        </w:rPr>
        <w:t xml:space="preserve"> Vizovice</w:t>
      </w:r>
    </w:p>
    <w:p w:rsidR="00FB1E08" w:rsidRPr="000E4CA3" w:rsidRDefault="00FB1E08" w:rsidP="00FB1E08">
      <w:pPr>
        <w:tabs>
          <w:tab w:val="left" w:pos="2835"/>
          <w:tab w:val="left" w:pos="3119"/>
        </w:tabs>
        <w:ind w:left="3119" w:hanging="3119"/>
        <w:rPr>
          <w:b/>
        </w:rPr>
      </w:pPr>
      <w:r>
        <w:t>Dotčené pozemky</w:t>
      </w:r>
      <w:r>
        <w:tab/>
        <w:t>:</w:t>
      </w:r>
      <w:r>
        <w:tab/>
      </w:r>
      <w:proofErr w:type="spellStart"/>
      <w:r>
        <w:rPr>
          <w:b/>
        </w:rPr>
        <w:t>p.č</w:t>
      </w:r>
      <w:proofErr w:type="spellEnd"/>
      <w:r>
        <w:rPr>
          <w:b/>
        </w:rPr>
        <w:t xml:space="preserve">.  </w:t>
      </w:r>
      <w:r w:rsidR="00B53575">
        <w:rPr>
          <w:b/>
        </w:rPr>
        <w:t>549/6 Vizovice</w:t>
      </w:r>
    </w:p>
    <w:p w:rsidR="00FB1E08" w:rsidRDefault="00FB1E08" w:rsidP="00FB1E08">
      <w:pPr>
        <w:tabs>
          <w:tab w:val="left" w:pos="2835"/>
          <w:tab w:val="left" w:pos="3119"/>
        </w:tabs>
        <w:spacing w:before="120"/>
        <w:rPr>
          <w:b/>
        </w:rPr>
      </w:pPr>
      <w:r>
        <w:t>Projektant</w:t>
      </w:r>
      <w:r>
        <w:tab/>
        <w:t>:</w:t>
      </w:r>
      <w:r>
        <w:tab/>
      </w:r>
      <w:r>
        <w:rPr>
          <w:b/>
        </w:rPr>
        <w:t>Ing. Zuzana Kousalíková</w:t>
      </w:r>
    </w:p>
    <w:p w:rsidR="00FB1E08" w:rsidRDefault="00FB1E08" w:rsidP="00FB1E08">
      <w:pPr>
        <w:tabs>
          <w:tab w:val="left" w:pos="2835"/>
          <w:tab w:val="left" w:pos="3119"/>
        </w:tabs>
        <w:spacing w:before="120"/>
      </w:pPr>
      <w:r>
        <w:t>Obor autorizace</w:t>
      </w:r>
      <w:r>
        <w:tab/>
        <w:t>:</w:t>
      </w:r>
      <w:r>
        <w:tab/>
      </w:r>
      <w:r>
        <w:rPr>
          <w:b/>
        </w:rPr>
        <w:t>stavby vodního hospodářství</w:t>
      </w:r>
    </w:p>
    <w:p w:rsidR="00FB1E08" w:rsidRDefault="00FB1E08" w:rsidP="00FB1E08">
      <w:pPr>
        <w:tabs>
          <w:tab w:val="left" w:pos="2835"/>
          <w:tab w:val="left" w:pos="3119"/>
        </w:tabs>
        <w:spacing w:before="120"/>
        <w:rPr>
          <w:b/>
        </w:rPr>
      </w:pPr>
      <w:r>
        <w:t xml:space="preserve">Číslo autorizace </w:t>
      </w:r>
      <w:r>
        <w:tab/>
        <w:t>:</w:t>
      </w:r>
      <w:r>
        <w:tab/>
      </w:r>
      <w:r>
        <w:rPr>
          <w:b/>
        </w:rPr>
        <w:t>1301974</w:t>
      </w:r>
    </w:p>
    <w:p w:rsidR="00FB1E08" w:rsidRDefault="00FB1E08" w:rsidP="00FB1E08">
      <w:pPr>
        <w:tabs>
          <w:tab w:val="left" w:pos="2835"/>
          <w:tab w:val="left" w:pos="3119"/>
        </w:tabs>
        <w:spacing w:before="120"/>
        <w:rPr>
          <w:b/>
        </w:rPr>
      </w:pPr>
      <w:r>
        <w:t>Kontaktní adresa</w:t>
      </w:r>
      <w:r>
        <w:tab/>
        <w:t>:</w:t>
      </w:r>
      <w:r>
        <w:tab/>
      </w:r>
      <w:r>
        <w:rPr>
          <w:b/>
        </w:rPr>
        <w:t>Fügnerova 317, 763 02 Zlín-Malenovice</w:t>
      </w:r>
    </w:p>
    <w:p w:rsidR="00FB1E08" w:rsidRDefault="00FB1E08" w:rsidP="00FB1E08">
      <w:pPr>
        <w:pStyle w:val="Odstavecseseznamem"/>
        <w:ind w:left="360"/>
        <w:rPr>
          <w:b/>
          <w:u w:val="single"/>
        </w:rPr>
      </w:pPr>
    </w:p>
    <w:p w:rsidR="00FB1E08" w:rsidRDefault="00FB1E08" w:rsidP="00FB1E08">
      <w:pPr>
        <w:pStyle w:val="Odstavecseseznamem"/>
        <w:ind w:left="360"/>
        <w:rPr>
          <w:b/>
          <w:u w:val="single"/>
        </w:rPr>
      </w:pPr>
    </w:p>
    <w:p w:rsidR="00FB1E08" w:rsidRDefault="00FB1E08" w:rsidP="00FB1E08">
      <w:pPr>
        <w:pStyle w:val="Odstavecseseznamem"/>
        <w:ind w:left="360"/>
        <w:rPr>
          <w:b/>
          <w:u w:val="single"/>
        </w:rPr>
      </w:pPr>
    </w:p>
    <w:p w:rsidR="00CC6E0E" w:rsidRPr="00AB41D9" w:rsidRDefault="00CC6E0E" w:rsidP="00AB41D9">
      <w:pPr>
        <w:pStyle w:val="Odstavecseseznamem"/>
        <w:numPr>
          <w:ilvl w:val="0"/>
          <w:numId w:val="1"/>
        </w:numPr>
        <w:tabs>
          <w:tab w:val="left" w:pos="0"/>
        </w:tabs>
        <w:spacing w:before="120"/>
        <w:ind w:left="714" w:hanging="357"/>
        <w:contextualSpacing w:val="0"/>
        <w:rPr>
          <w:rFonts w:ascii="Times New Roman" w:hAnsi="Times New Roman"/>
          <w:b/>
          <w:u w:val="single"/>
        </w:rPr>
      </w:pPr>
      <w:r w:rsidRPr="00AB41D9">
        <w:rPr>
          <w:rFonts w:ascii="Times New Roman" w:hAnsi="Times New Roman"/>
          <w:b/>
          <w:u w:val="single"/>
        </w:rPr>
        <w:t>popis objektu</w:t>
      </w:r>
    </w:p>
    <w:p w:rsidR="00B53575" w:rsidRDefault="00B53575" w:rsidP="00B53575">
      <w:pPr>
        <w:tabs>
          <w:tab w:val="left" w:pos="5387"/>
        </w:tabs>
        <w:spacing w:afterLines="60" w:after="144" w:line="276" w:lineRule="auto"/>
        <w:ind w:firstLine="426"/>
      </w:pPr>
      <w:r>
        <w:t>V ul. A. Háby je vedena stávající kanalizace z trub betonových DN 300. Kanalizace je v nevyhovujícím technickém stavu.</w:t>
      </w:r>
    </w:p>
    <w:p w:rsidR="002C13B1" w:rsidRDefault="002C13B1" w:rsidP="002C13B1">
      <w:pPr>
        <w:tabs>
          <w:tab w:val="left" w:pos="5387"/>
        </w:tabs>
        <w:spacing w:afterLines="60" w:after="144" w:line="276" w:lineRule="auto"/>
        <w:ind w:left="360"/>
        <w:rPr>
          <w:b/>
          <w:bCs/>
        </w:rPr>
      </w:pPr>
      <w:r>
        <w:t xml:space="preserve">Je navržena </w:t>
      </w:r>
      <w:r w:rsidR="00B53575">
        <w:t xml:space="preserve">oprava – výměna stávající </w:t>
      </w:r>
      <w:r>
        <w:t xml:space="preserve">kanalizace </w:t>
      </w:r>
      <w:r w:rsidR="00B53575">
        <w:t xml:space="preserve">za </w:t>
      </w:r>
      <w:r w:rsidR="00C709E6" w:rsidRPr="00C709E6">
        <w:rPr>
          <w:b/>
          <w:bCs/>
        </w:rPr>
        <w:t xml:space="preserve">PVC </w:t>
      </w:r>
      <w:r w:rsidR="00C709E6">
        <w:rPr>
          <w:b/>
          <w:bCs/>
        </w:rPr>
        <w:t xml:space="preserve">DN </w:t>
      </w:r>
      <w:r w:rsidR="00B53575">
        <w:rPr>
          <w:b/>
          <w:bCs/>
        </w:rPr>
        <w:t>3</w:t>
      </w:r>
      <w:r w:rsidR="00C709E6">
        <w:rPr>
          <w:b/>
          <w:bCs/>
        </w:rPr>
        <w:t xml:space="preserve">00 délky </w:t>
      </w:r>
      <w:r w:rsidR="00B53575">
        <w:rPr>
          <w:b/>
          <w:bCs/>
        </w:rPr>
        <w:t>87</w:t>
      </w:r>
      <w:r w:rsidR="00C709E6">
        <w:rPr>
          <w:b/>
          <w:bCs/>
        </w:rPr>
        <w:t xml:space="preserve"> m.</w:t>
      </w:r>
      <w:r w:rsidR="00474C55">
        <w:rPr>
          <w:b/>
          <w:bCs/>
        </w:rPr>
        <w:t xml:space="preserve"> </w:t>
      </w:r>
    </w:p>
    <w:p w:rsidR="000C5D39" w:rsidRDefault="00E349F5" w:rsidP="000C5D39">
      <w:pPr>
        <w:tabs>
          <w:tab w:val="left" w:pos="5387"/>
        </w:tabs>
        <w:spacing w:afterLines="60" w:after="144" w:line="276" w:lineRule="auto"/>
        <w:ind w:right="706" w:firstLine="426"/>
        <w:jc w:val="both"/>
      </w:pPr>
      <w:r>
        <w:t xml:space="preserve">V trase jsou navrženy 3 šachty. </w:t>
      </w:r>
      <w:r w:rsidR="00AD20A3" w:rsidRPr="00AD20A3">
        <w:t>Šachty jsou navrženy betonové</w:t>
      </w:r>
      <w:r>
        <w:t xml:space="preserve"> prefabrikované např. systém </w:t>
      </w:r>
      <w:proofErr w:type="spellStart"/>
      <w:r>
        <w:t>Prefa</w:t>
      </w:r>
      <w:proofErr w:type="spellEnd"/>
      <w:r>
        <w:t xml:space="preserve">. Orientační sestavy šachet jsou v příloze technické zprávy. Pro napojení </w:t>
      </w:r>
      <w:r w:rsidR="000C5D39">
        <w:t xml:space="preserve">kanalizace </w:t>
      </w:r>
      <w:r>
        <w:t>se použijí pískovaná hrdla s</w:t>
      </w:r>
      <w:r w:rsidR="000C5D39">
        <w:t> </w:t>
      </w:r>
      <w:r>
        <w:t>přísluš</w:t>
      </w:r>
      <w:r w:rsidR="000C5D39">
        <w:t xml:space="preserve">nými přechodovými kusy (plast/beton). Stávající šachta před domem č.p. 880 se zruší. </w:t>
      </w:r>
    </w:p>
    <w:p w:rsidR="00AD20A3" w:rsidRDefault="000C5D39" w:rsidP="000C5D39">
      <w:pPr>
        <w:tabs>
          <w:tab w:val="left" w:pos="5387"/>
        </w:tabs>
        <w:spacing w:afterLines="60" w:after="144" w:line="276" w:lineRule="auto"/>
        <w:ind w:right="565" w:firstLine="426"/>
        <w:jc w:val="both"/>
      </w:pPr>
      <w:r>
        <w:t xml:space="preserve">Stávající přípojky kanalizace od rodinných domků se přepojí do nového potrubí sedlovými odbočkami. Přesné umístění přípojek nebylo možné ověřit. Na odkryté přípojky budou umístěny plastové revizní šachty DN 400 – 3 ks. Vzhledem ke stísněným poměrům jsou tyto </w:t>
      </w:r>
      <w:proofErr w:type="spellStart"/>
      <w:r>
        <w:t>šachtičky</w:t>
      </w:r>
      <w:proofErr w:type="spellEnd"/>
      <w:r>
        <w:t xml:space="preserve"> navrženy v zahrádkách rodinných domů. Součástí stavby je PVC potrubí DN 150 od těchto </w:t>
      </w:r>
      <w:proofErr w:type="spellStart"/>
      <w:r>
        <w:t>šachtiček</w:t>
      </w:r>
      <w:proofErr w:type="spellEnd"/>
      <w:r>
        <w:t xml:space="preserve"> a </w:t>
      </w:r>
      <w:r w:rsidR="00104267">
        <w:t>kolena 2x45 st.</w:t>
      </w:r>
      <w:r w:rsidR="00E41B1D">
        <w:t xml:space="preserve"> Před zahájením prací musí být přepojení přípojek projednáno s majiteli dotčených pozemků a umístění </w:t>
      </w:r>
      <w:proofErr w:type="spellStart"/>
      <w:r w:rsidR="00E41B1D">
        <w:t>šachtiček</w:t>
      </w:r>
      <w:proofErr w:type="spellEnd"/>
      <w:r w:rsidR="00E41B1D">
        <w:t xml:space="preserve"> prokazatelně písemně odsouhlaseno.</w:t>
      </w:r>
    </w:p>
    <w:p w:rsidR="00104267" w:rsidRDefault="00104267" w:rsidP="000C5D39">
      <w:pPr>
        <w:tabs>
          <w:tab w:val="left" w:pos="5387"/>
        </w:tabs>
        <w:spacing w:afterLines="60" w:after="144" w:line="276" w:lineRule="auto"/>
        <w:ind w:right="565" w:firstLine="426"/>
        <w:jc w:val="both"/>
      </w:pPr>
      <w:r>
        <w:t>Přípojka od bytového domu č.p. 788 se napojí do šachty č. 3. Přípojka byla opravována, předpokládáme PVC DN 200 – výšku vtoku je nutno upřesnit po obnažení přípojky před objednávkou šachtového dna.</w:t>
      </w:r>
    </w:p>
    <w:p w:rsidR="00104267" w:rsidRDefault="00104267" w:rsidP="000C5D39">
      <w:pPr>
        <w:tabs>
          <w:tab w:val="left" w:pos="5387"/>
        </w:tabs>
        <w:spacing w:afterLines="60" w:after="144" w:line="276" w:lineRule="auto"/>
        <w:ind w:right="565" w:firstLine="426"/>
        <w:jc w:val="both"/>
      </w:pPr>
      <w:r>
        <w:t xml:space="preserve">Přípojka od bytového domu č.p. 880 je zaústěna do stávající šachty. Tato bude v rámci stavby zrušena. </w:t>
      </w:r>
      <w:r w:rsidR="00EC67D0">
        <w:t>Napojení se provede sedlovou odbočkou, 2x koleno 45 st. a přechod PVC/beton.</w:t>
      </w:r>
    </w:p>
    <w:p w:rsidR="00EC67D0" w:rsidRDefault="00EC67D0" w:rsidP="000C5D39">
      <w:pPr>
        <w:tabs>
          <w:tab w:val="left" w:pos="5387"/>
        </w:tabs>
        <w:spacing w:afterLines="60" w:after="144" w:line="276" w:lineRule="auto"/>
        <w:ind w:right="565" w:firstLine="426"/>
        <w:jc w:val="both"/>
      </w:pPr>
      <w:r>
        <w:t xml:space="preserve">Uliční vpusť ve staničení </w:t>
      </w:r>
      <w:r w:rsidR="00711D3F">
        <w:t>63 m je propadlá, předpokládáme, že celá konstrukce je porušená. Je navržena nová uliční vpusť betonová prefabrikovaná DN 500</w:t>
      </w:r>
      <w:r w:rsidR="002748D6">
        <w:t xml:space="preserve">. Předpokládaná sestava: dílec pro </w:t>
      </w:r>
      <w:r w:rsidR="00711D3F">
        <w:t>čtvercovou mříž, průběžný</w:t>
      </w:r>
      <w:r w:rsidR="002748D6">
        <w:t xml:space="preserve"> dílec nízký, průběžný dílec se zápachovou uzávěrkou a odtokem </w:t>
      </w:r>
      <w:r w:rsidR="002748D6">
        <w:lastRenderedPageBreak/>
        <w:t>DN 150</w:t>
      </w:r>
      <w:r w:rsidR="00711D3F">
        <w:t xml:space="preserve"> a </w:t>
      </w:r>
      <w:r w:rsidR="002748D6">
        <w:t>spodní dílec s kalištěm vysoký</w:t>
      </w:r>
      <w:r w:rsidR="00711D3F">
        <w:t xml:space="preserve">. </w:t>
      </w:r>
      <w:r w:rsidR="002748D6">
        <w:t>Vpusť bude napojena do kanalizace sedlovou odbočkou a 2x kolenem 45 st.</w:t>
      </w:r>
    </w:p>
    <w:p w:rsidR="00E41B1D" w:rsidRPr="00F5399A" w:rsidRDefault="00E41B1D" w:rsidP="00E41B1D">
      <w:pPr>
        <w:tabs>
          <w:tab w:val="left" w:pos="5387"/>
        </w:tabs>
        <w:spacing w:afterLines="60" w:after="144" w:line="276" w:lineRule="auto"/>
        <w:ind w:right="565" w:firstLine="426"/>
        <w:jc w:val="both"/>
      </w:pPr>
      <w:r>
        <w:t xml:space="preserve">Trasa kanalizace kříží podzemní a nadzemní vedení inženýrských sítí. </w:t>
      </w:r>
      <w:r w:rsidRPr="00F5399A">
        <w:t>Před zahájením výkopových prací musí dodavatel vytyčit popř. ověřovacími sondami upřesnit polohu podzemních vedení, aby nedošlo během výkopu k jejich poškození a provést o vytyčení zápis do stavebního deníku.</w:t>
      </w:r>
    </w:p>
    <w:p w:rsidR="00E41B1D" w:rsidRPr="00F5399A" w:rsidRDefault="00E41B1D" w:rsidP="00E41B1D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Veškeré výkopové práce v blízkosti stávajících rozvodů se musí provádět ručně. Při jejich odkrytí je nutné uvědomit správce těchto rozvodů a zajistit ochranu zařízení proti porušení i jiným vnějším účinkům.</w:t>
      </w:r>
    </w:p>
    <w:p w:rsidR="00E41B1D" w:rsidRDefault="00E41B1D" w:rsidP="00E41B1D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Odkrytá podzemní vedení a zařízení musí být zakreslena do dokumentace skutečného provedení stavby.</w:t>
      </w:r>
    </w:p>
    <w:p w:rsidR="00E41B1D" w:rsidRDefault="00E41B1D" w:rsidP="00E41B1D">
      <w:pPr>
        <w:pStyle w:val="Odstavecseseznamem"/>
        <w:tabs>
          <w:tab w:val="left" w:pos="0"/>
        </w:tabs>
        <w:ind w:left="0" w:firstLine="56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Trasa kanalizace je vedena převážně v okraji místní komunikace ul. A. Háby. I v místě, kde osa kanalizace prochází nezpevněným terénem, je pro provádění stavby nutné zasáhnout do místní komunikace. Uložení vedení do místní komunikace musí být odsouhlaseno příslušným silničním správním orgánem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MěÚ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Vizovice, odbor dopravy) včetně dopravního značení. </w:t>
      </w:r>
    </w:p>
    <w:p w:rsidR="00E41B1D" w:rsidRDefault="00E41B1D" w:rsidP="00E41B1D">
      <w:pPr>
        <w:pStyle w:val="Odstavecseseznamem"/>
        <w:tabs>
          <w:tab w:val="left" w:pos="0"/>
        </w:tabs>
        <w:ind w:left="0" w:firstLine="56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 ukončení stavby se obnoví konstrukční vrstvy komunikace.</w:t>
      </w:r>
    </w:p>
    <w:p w:rsidR="00E41B1D" w:rsidRDefault="00E41B1D" w:rsidP="00E41B1D">
      <w:pPr>
        <w:pStyle w:val="Odstavecseseznamem"/>
        <w:tabs>
          <w:tab w:val="left" w:pos="0"/>
        </w:tabs>
        <w:ind w:left="0" w:firstLine="56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Předpokládáme následující skladbu:</w:t>
      </w:r>
    </w:p>
    <w:p w:rsidR="00993CD0" w:rsidRPr="007D24FE" w:rsidRDefault="00993CD0" w:rsidP="00993CD0">
      <w:pPr>
        <w:jc w:val="both"/>
        <w:rPr>
          <w:color w:val="000000"/>
        </w:rPr>
      </w:pPr>
      <w:r w:rsidRPr="007D24FE">
        <w:rPr>
          <w:color w:val="000000"/>
        </w:rPr>
        <w:t xml:space="preserve">Asfaltový koberec               </w:t>
      </w:r>
      <w:r>
        <w:rPr>
          <w:color w:val="000000"/>
        </w:rPr>
        <w:t>2x 100</w:t>
      </w:r>
      <w:r w:rsidRPr="007D24FE">
        <w:rPr>
          <w:color w:val="000000"/>
        </w:rPr>
        <w:t xml:space="preserve"> mm                         </w:t>
      </w:r>
    </w:p>
    <w:p w:rsidR="00993CD0" w:rsidRPr="007D24FE" w:rsidRDefault="00993CD0" w:rsidP="00993CD0">
      <w:pPr>
        <w:jc w:val="both"/>
        <w:rPr>
          <w:color w:val="000000"/>
        </w:rPr>
      </w:pPr>
      <w:r w:rsidRPr="007D24FE">
        <w:rPr>
          <w:color w:val="000000"/>
        </w:rPr>
        <w:t xml:space="preserve">Obalované </w:t>
      </w:r>
      <w:proofErr w:type="gramStart"/>
      <w:r w:rsidRPr="007D24FE">
        <w:rPr>
          <w:color w:val="000000"/>
        </w:rPr>
        <w:t xml:space="preserve">kamenivo               </w:t>
      </w:r>
      <w:r>
        <w:rPr>
          <w:color w:val="000000"/>
        </w:rPr>
        <w:t>150</w:t>
      </w:r>
      <w:proofErr w:type="gramEnd"/>
      <w:r>
        <w:rPr>
          <w:color w:val="000000"/>
        </w:rPr>
        <w:t xml:space="preserve"> </w:t>
      </w:r>
      <w:r w:rsidRPr="007D24FE">
        <w:rPr>
          <w:color w:val="000000"/>
        </w:rPr>
        <w:t xml:space="preserve"> mm                         </w:t>
      </w:r>
    </w:p>
    <w:p w:rsidR="00D859D4" w:rsidRDefault="00D859D4" w:rsidP="00CC6E0E">
      <w:pPr>
        <w:tabs>
          <w:tab w:val="left" w:pos="0"/>
        </w:tabs>
      </w:pPr>
    </w:p>
    <w:p w:rsidR="00CC6E0E" w:rsidRPr="00AB41D9" w:rsidRDefault="00CC6E0E" w:rsidP="002C737F">
      <w:pPr>
        <w:pStyle w:val="Odstavecseseznamem"/>
        <w:numPr>
          <w:ilvl w:val="0"/>
          <w:numId w:val="1"/>
        </w:numPr>
        <w:tabs>
          <w:tab w:val="left" w:pos="0"/>
        </w:tabs>
        <w:spacing w:before="120"/>
        <w:ind w:left="714" w:hanging="357"/>
        <w:contextualSpacing w:val="0"/>
        <w:rPr>
          <w:rFonts w:ascii="Times New Roman" w:hAnsi="Times New Roman"/>
          <w:b/>
          <w:u w:val="single"/>
        </w:rPr>
      </w:pPr>
      <w:r w:rsidRPr="00AB41D9">
        <w:rPr>
          <w:rFonts w:ascii="Times New Roman" w:hAnsi="Times New Roman"/>
          <w:b/>
          <w:u w:val="single"/>
        </w:rPr>
        <w:t>požadavky na postup stavebních a montážních prací</w:t>
      </w:r>
    </w:p>
    <w:p w:rsidR="00CC6E0E" w:rsidRPr="00F5399A" w:rsidRDefault="002C737F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Stoka</w:t>
      </w:r>
      <w:r w:rsidR="00CC6E0E"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 bude provedena v souladu s ČSN EN 1612 provádění stok a kanalizační</w:t>
      </w: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ch přípojek </w:t>
      </w:r>
    </w:p>
    <w:p w:rsidR="00CC6E0E" w:rsidRPr="00AB41D9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B41D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Zemní práce:</w:t>
      </w:r>
    </w:p>
    <w:p w:rsidR="00171773" w:rsidRPr="00F5399A" w:rsidRDefault="00171773" w:rsidP="00171773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Výkop rýhy pro kanalizaci se provede kolmý, pažení příložné. Šířka výkopu ve dně 1200 mm.</w:t>
      </w:r>
    </w:p>
    <w:p w:rsidR="00171773" w:rsidRPr="00F5399A" w:rsidRDefault="00171773" w:rsidP="00171773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Zemina potřebná pro zásypy se ponechá na místě. Přebytečná zemina </w:t>
      </w:r>
      <w:r w:rsidR="00AB41D9">
        <w:rPr>
          <w:rFonts w:ascii="Times New Roman" w:eastAsia="Times New Roman" w:hAnsi="Times New Roman"/>
          <w:sz w:val="24"/>
          <w:szCs w:val="24"/>
          <w:lang w:eastAsia="cs-CZ"/>
        </w:rPr>
        <w:t>a vybourané zbytky betonového potrubí</w:t>
      </w:r>
      <w:r w:rsidR="001A31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se odvez</w:t>
      </w:r>
      <w:r w:rsidR="001A316D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 na skládku do vzdálenosti do 5 km</w:t>
      </w:r>
      <w:r w:rsidR="001A316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Zemní práce se předpokládají ve tř. </w:t>
      </w:r>
      <w:proofErr w:type="gramStart"/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těžitelnosti</w:t>
      </w:r>
      <w:proofErr w:type="gramEnd"/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200C2" w:rsidRPr="00F5399A">
        <w:rPr>
          <w:rFonts w:ascii="Times New Roman" w:eastAsia="Times New Roman" w:hAnsi="Times New Roman"/>
          <w:sz w:val="24"/>
          <w:szCs w:val="24"/>
          <w:lang w:eastAsia="cs-CZ"/>
        </w:rPr>
        <w:t>3 (5</w:t>
      </w: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0%) a </w:t>
      </w:r>
      <w:r w:rsidR="00C200C2" w:rsidRPr="00F5399A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 (</w:t>
      </w:r>
      <w:r w:rsidR="00C200C2" w:rsidRPr="00F5399A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0%). 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Veškeré výkopové práce v dotčených ochranných pásmech konzultovat a provádět v koordinaci se správci ochranných pásem dotčených staveb!</w:t>
      </w:r>
    </w:p>
    <w:p w:rsidR="00CC6E0E" w:rsidRPr="001A316D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A316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Uložení potrubí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Uložení PVC potrubí bude</w:t>
      </w:r>
      <w:r w:rsidR="00171773"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 typové.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Výkop musí být při pokládce prostý vody.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Potrubí se ukládá na pískové lože. PVC potrubí musí být obsypáno hrubým pískem nebo štěrkopískem a velmi dobře zhutněno 300 mm nad vrchol trouby (součinitel zhutnění Id=0,7), zejména na bocích roury a v prostoru pod ní. Nad rourou není už tak intenzivní hutnění zapotřebí a je nutno intenzitu hutnění přizpůsobit tak, aby nedošlo k poškození trouby.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V místech pod budoucími pojížděnými plochami se provede zásyp štěrkopískem. Zásyp nad potrubím je nutno řádně hutnit. Součinitel zhutnění 97% </w:t>
      </w:r>
      <w:proofErr w:type="spellStart"/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Proctor</w:t>
      </w:r>
      <w:proofErr w:type="spellEnd"/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 Standard.</w:t>
      </w:r>
    </w:p>
    <w:p w:rsidR="001A316D" w:rsidRDefault="00B53575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 ukončení montáže se provede zkouška vodotě</w:t>
      </w:r>
      <w:r w:rsidR="00157D71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nost</w:t>
      </w:r>
      <w:r w:rsidR="00104267">
        <w:rPr>
          <w:rFonts w:ascii="Times New Roman" w:eastAsia="Times New Roman" w:hAnsi="Times New Roman"/>
          <w:sz w:val="24"/>
          <w:szCs w:val="24"/>
          <w:lang w:eastAsia="cs-CZ"/>
        </w:rPr>
        <w:t>i podle ČSN EN 1610.</w:t>
      </w:r>
    </w:p>
    <w:p w:rsidR="00993CD0" w:rsidRDefault="00993CD0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93CD0" w:rsidRDefault="00993CD0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53575" w:rsidRPr="00F5399A" w:rsidRDefault="00B53575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C6E0E" w:rsidRPr="001A316D" w:rsidRDefault="001A316D" w:rsidP="001A316D">
      <w:pPr>
        <w:pStyle w:val="Odstavecseseznamem"/>
        <w:numPr>
          <w:ilvl w:val="0"/>
          <w:numId w:val="1"/>
        </w:numPr>
        <w:tabs>
          <w:tab w:val="left" w:pos="0"/>
        </w:tabs>
        <w:spacing w:before="120"/>
        <w:ind w:left="714" w:hanging="357"/>
        <w:contextualSpacing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Vytyčení a výškový systém</w:t>
      </w:r>
    </w:p>
    <w:p w:rsidR="00CC6E0E" w:rsidRDefault="001A316D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Trasa je vyznačena v situaci v měřítku 1:</w:t>
      </w:r>
      <w:r w:rsidR="00B53575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00 a v digitální podobě v souřadnicích JTSK</w:t>
      </w:r>
      <w:r w:rsidR="00CC6E0E" w:rsidRPr="00F5399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1A316D" w:rsidRPr="00F5399A" w:rsidRDefault="001A316D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Výškový systém </w:t>
      </w:r>
      <w:proofErr w:type="spellStart"/>
      <w:r w:rsidR="00B53575">
        <w:rPr>
          <w:rFonts w:ascii="Times New Roman" w:eastAsia="Times New Roman" w:hAnsi="Times New Roman"/>
          <w:sz w:val="24"/>
          <w:szCs w:val="24"/>
          <w:lang w:eastAsia="cs-CZ"/>
        </w:rPr>
        <w:t>B.p.v</w:t>
      </w:r>
      <w:proofErr w:type="spellEnd"/>
      <w:r w:rsidR="00B5357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171773" w:rsidRPr="00F5399A" w:rsidRDefault="00171773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C6E0E" w:rsidRPr="00AB41D9" w:rsidRDefault="00CC6E0E" w:rsidP="00AB41D9">
      <w:pPr>
        <w:pStyle w:val="Odstavecseseznamem"/>
        <w:numPr>
          <w:ilvl w:val="0"/>
          <w:numId w:val="1"/>
        </w:numPr>
        <w:tabs>
          <w:tab w:val="left" w:pos="0"/>
        </w:tabs>
        <w:spacing w:before="120"/>
        <w:ind w:left="714" w:hanging="357"/>
        <w:contextualSpacing w:val="0"/>
        <w:rPr>
          <w:rFonts w:ascii="Times New Roman" w:hAnsi="Times New Roman"/>
          <w:b/>
          <w:u w:val="single"/>
        </w:rPr>
      </w:pPr>
      <w:r w:rsidRPr="00AB41D9">
        <w:rPr>
          <w:rFonts w:ascii="Times New Roman" w:hAnsi="Times New Roman"/>
          <w:b/>
          <w:u w:val="single"/>
        </w:rPr>
        <w:t>důsledky na životní prostředí a bezpečnost práce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Při provádění stavebních prací nutno respektovat požadavky k zajištění bezpečnosti práce dle zákona č. 209/2006 Sb. a nařízení vlády č. 591/2006 Sb. o bližších minimálních požadavcích na bezpečnost a ochranu zdraví při práci na staveništích.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 xml:space="preserve">Ve Zlíně </w:t>
      </w:r>
      <w:r w:rsidR="001A316D">
        <w:rPr>
          <w:rFonts w:ascii="Times New Roman" w:eastAsia="Times New Roman" w:hAnsi="Times New Roman"/>
          <w:sz w:val="24"/>
          <w:szCs w:val="24"/>
          <w:lang w:eastAsia="cs-CZ"/>
        </w:rPr>
        <w:t>09/2019</w:t>
      </w:r>
    </w:p>
    <w:p w:rsidR="00CC6E0E" w:rsidRPr="00F5399A" w:rsidRDefault="00CC6E0E" w:rsidP="00CC6E0E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399A">
        <w:rPr>
          <w:rFonts w:ascii="Times New Roman" w:eastAsia="Times New Roman" w:hAnsi="Times New Roman"/>
          <w:sz w:val="24"/>
          <w:szCs w:val="24"/>
          <w:lang w:eastAsia="cs-CZ"/>
        </w:rPr>
        <w:t>Ing. Zuzana Kousalíková</w:t>
      </w:r>
    </w:p>
    <w:sectPr w:rsidR="00CC6E0E" w:rsidRPr="00F5399A" w:rsidSect="00AC1E04">
      <w:headerReference w:type="default" r:id="rId9"/>
      <w:footerReference w:type="even" r:id="rId10"/>
      <w:footerReference w:type="default" r:id="rId11"/>
      <w:pgSz w:w="11906" w:h="16838" w:code="9"/>
      <w:pgMar w:top="1701" w:right="851" w:bottom="1247" w:left="1418" w:header="624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D55" w:rsidRDefault="00C47D55">
      <w:r>
        <w:separator/>
      </w:r>
    </w:p>
  </w:endnote>
  <w:endnote w:type="continuationSeparator" w:id="0">
    <w:p w:rsidR="00C47D55" w:rsidRDefault="00C4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6B" w:rsidRDefault="00DD29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766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766B" w:rsidRDefault="00AB76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6B" w:rsidRPr="008164D4" w:rsidRDefault="00DD2931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8164D4">
      <w:rPr>
        <w:rStyle w:val="slostrnky"/>
        <w:sz w:val="16"/>
        <w:szCs w:val="16"/>
      </w:rPr>
      <w:fldChar w:fldCharType="begin"/>
    </w:r>
    <w:r w:rsidR="00AB766B" w:rsidRPr="008164D4">
      <w:rPr>
        <w:rStyle w:val="slostrnky"/>
        <w:sz w:val="16"/>
        <w:szCs w:val="16"/>
      </w:rPr>
      <w:instrText xml:space="preserve">PAGE  </w:instrText>
    </w:r>
    <w:r w:rsidRPr="008164D4">
      <w:rPr>
        <w:rStyle w:val="slostrnky"/>
        <w:sz w:val="16"/>
        <w:szCs w:val="16"/>
      </w:rPr>
      <w:fldChar w:fldCharType="separate"/>
    </w:r>
    <w:r w:rsidR="00CE48AF">
      <w:rPr>
        <w:rStyle w:val="slostrnky"/>
        <w:noProof/>
        <w:sz w:val="16"/>
        <w:szCs w:val="16"/>
      </w:rPr>
      <w:t>4</w:t>
    </w:r>
    <w:r w:rsidRPr="008164D4">
      <w:rPr>
        <w:rStyle w:val="slostrnky"/>
        <w:sz w:val="16"/>
        <w:szCs w:val="16"/>
      </w:rPr>
      <w:fldChar w:fldCharType="end"/>
    </w:r>
  </w:p>
  <w:p w:rsidR="00AB766B" w:rsidRPr="00642CAA" w:rsidRDefault="00AB766B">
    <w:pPr>
      <w:pStyle w:val="Zpat"/>
      <w:ind w:right="360"/>
      <w:rPr>
        <w:sz w:val="16"/>
        <w:szCs w:val="16"/>
      </w:rPr>
    </w:pPr>
    <w:r>
      <w:t xml:space="preserve">                                                                             </w:t>
    </w:r>
    <w:r w:rsidRPr="00642CAA">
      <w:rPr>
        <w:sz w:val="16"/>
        <w:szCs w:val="16"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D55" w:rsidRDefault="00C47D55">
      <w:r>
        <w:separator/>
      </w:r>
    </w:p>
  </w:footnote>
  <w:footnote w:type="continuationSeparator" w:id="0">
    <w:p w:rsidR="00C47D55" w:rsidRDefault="00C47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6B" w:rsidRDefault="00AB766B">
    <w:pPr>
      <w:rPr>
        <w:sz w:val="20"/>
      </w:rPr>
    </w:pPr>
  </w:p>
  <w:p w:rsidR="00AC1E04" w:rsidRDefault="00B53575" w:rsidP="00AC1E04">
    <w:pPr>
      <w:pStyle w:val="Zhlav"/>
      <w:rPr>
        <w:b/>
        <w:color w:val="808080"/>
        <w:sz w:val="20"/>
      </w:rPr>
    </w:pPr>
    <w:r>
      <w:rPr>
        <w:b/>
        <w:color w:val="808080"/>
        <w:sz w:val="20"/>
      </w:rPr>
      <w:t>OPRAVA KANALIZACE ul. A. HÁBY VIZOVICE</w:t>
    </w:r>
    <w:r w:rsidR="00E958E1">
      <w:rPr>
        <w:b/>
        <w:color w:val="808080"/>
        <w:sz w:val="20"/>
      </w:rPr>
      <w:tab/>
    </w:r>
    <w:r w:rsidR="00FB1E08">
      <w:rPr>
        <w:b/>
        <w:color w:val="808080"/>
        <w:sz w:val="20"/>
      </w:rPr>
      <w:tab/>
    </w:r>
  </w:p>
  <w:p w:rsidR="00E958E1" w:rsidRDefault="00E958E1" w:rsidP="00AC1E04">
    <w:pPr>
      <w:pStyle w:val="Zhlav"/>
      <w:rPr>
        <w:rFonts w:ascii="Arial" w:hAnsi="Arial"/>
        <w:sz w:val="20"/>
      </w:rPr>
    </w:pPr>
    <w:r>
      <w:rPr>
        <w:b/>
        <w:color w:val="808080"/>
        <w:sz w:val="20"/>
      </w:rPr>
      <w:tab/>
    </w:r>
    <w:r>
      <w:rPr>
        <w:b/>
        <w:color w:val="808080"/>
        <w:sz w:val="20"/>
      </w:rPr>
      <w:tab/>
    </w:r>
    <w:r w:rsidR="00FB1E08">
      <w:rPr>
        <w:b/>
        <w:color w:val="808080"/>
        <w:sz w:val="20"/>
      </w:rPr>
      <w:t>09/2019</w:t>
    </w:r>
  </w:p>
  <w:p w:rsidR="00AC1E04" w:rsidRDefault="00AC1E04" w:rsidP="00AC1E04">
    <w:pPr>
      <w:pStyle w:val="Zhlav"/>
      <w:rPr>
        <w:rFonts w:ascii="Arial" w:hAnsi="Arial"/>
        <w:sz w:val="18"/>
      </w:rPr>
    </w:pPr>
  </w:p>
  <w:p w:rsidR="00AB766B" w:rsidRDefault="00AB766B">
    <w:pPr>
      <w:rPr>
        <w:color w:val="808080"/>
        <w:sz w:val="20"/>
      </w:rPr>
    </w:pPr>
    <w:r>
      <w:rPr>
        <w:b/>
        <w:color w:val="808080"/>
        <w:sz w:val="20"/>
      </w:rPr>
      <w:t>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 w15:restartNumberingAfterBreak="0">
    <w:nsid w:val="01D6283A"/>
    <w:multiLevelType w:val="hybridMultilevel"/>
    <w:tmpl w:val="82FA2B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75F7"/>
    <w:multiLevelType w:val="hybridMultilevel"/>
    <w:tmpl w:val="17D22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5754"/>
    <w:multiLevelType w:val="hybridMultilevel"/>
    <w:tmpl w:val="D5D01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B42C7"/>
    <w:multiLevelType w:val="multilevel"/>
    <w:tmpl w:val="0F3A78B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3E157411"/>
    <w:multiLevelType w:val="hybridMultilevel"/>
    <w:tmpl w:val="85C6664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35182"/>
    <w:multiLevelType w:val="multilevel"/>
    <w:tmpl w:val="5682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36574"/>
    <w:multiLevelType w:val="hybridMultilevel"/>
    <w:tmpl w:val="AB3EE9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72F6"/>
    <w:multiLevelType w:val="hybridMultilevel"/>
    <w:tmpl w:val="A204F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E5BAA"/>
    <w:multiLevelType w:val="hybridMultilevel"/>
    <w:tmpl w:val="6158C226"/>
    <w:lvl w:ilvl="0" w:tplc="88A0C3B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A68FC"/>
    <w:multiLevelType w:val="hybridMultilevel"/>
    <w:tmpl w:val="586210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7F"/>
    <w:rsid w:val="00015AF2"/>
    <w:rsid w:val="000233D3"/>
    <w:rsid w:val="00064825"/>
    <w:rsid w:val="00076F84"/>
    <w:rsid w:val="0008023A"/>
    <w:rsid w:val="000846D3"/>
    <w:rsid w:val="00091339"/>
    <w:rsid w:val="000C19E6"/>
    <w:rsid w:val="000C5D39"/>
    <w:rsid w:val="000C6EE1"/>
    <w:rsid w:val="000E532D"/>
    <w:rsid w:val="000E5AB1"/>
    <w:rsid w:val="0010078A"/>
    <w:rsid w:val="001010D1"/>
    <w:rsid w:val="00104267"/>
    <w:rsid w:val="001076DE"/>
    <w:rsid w:val="00113382"/>
    <w:rsid w:val="00113798"/>
    <w:rsid w:val="001369B0"/>
    <w:rsid w:val="00147697"/>
    <w:rsid w:val="00157D71"/>
    <w:rsid w:val="00171773"/>
    <w:rsid w:val="00180746"/>
    <w:rsid w:val="00195173"/>
    <w:rsid w:val="001A316D"/>
    <w:rsid w:val="001A7B5D"/>
    <w:rsid w:val="001B1E5A"/>
    <w:rsid w:val="002053A8"/>
    <w:rsid w:val="00224EF3"/>
    <w:rsid w:val="002701AA"/>
    <w:rsid w:val="002748D6"/>
    <w:rsid w:val="00297ACC"/>
    <w:rsid w:val="002A0ADC"/>
    <w:rsid w:val="002B63C0"/>
    <w:rsid w:val="002C13B1"/>
    <w:rsid w:val="002C6BED"/>
    <w:rsid w:val="002C737F"/>
    <w:rsid w:val="003051DB"/>
    <w:rsid w:val="00354245"/>
    <w:rsid w:val="00360D83"/>
    <w:rsid w:val="003A0BA3"/>
    <w:rsid w:val="003B447F"/>
    <w:rsid w:val="003C3CF8"/>
    <w:rsid w:val="003E1376"/>
    <w:rsid w:val="00411573"/>
    <w:rsid w:val="00413DE3"/>
    <w:rsid w:val="004223CC"/>
    <w:rsid w:val="00463914"/>
    <w:rsid w:val="00474C55"/>
    <w:rsid w:val="004A05FA"/>
    <w:rsid w:val="004F08BF"/>
    <w:rsid w:val="004F5837"/>
    <w:rsid w:val="005023B2"/>
    <w:rsid w:val="005158F6"/>
    <w:rsid w:val="005222B3"/>
    <w:rsid w:val="00530DD6"/>
    <w:rsid w:val="005609FE"/>
    <w:rsid w:val="00565107"/>
    <w:rsid w:val="00572E5A"/>
    <w:rsid w:val="00581BC6"/>
    <w:rsid w:val="005F5C3C"/>
    <w:rsid w:val="005F78F0"/>
    <w:rsid w:val="00616A22"/>
    <w:rsid w:val="00642CAA"/>
    <w:rsid w:val="00643223"/>
    <w:rsid w:val="00644A59"/>
    <w:rsid w:val="00657728"/>
    <w:rsid w:val="00665937"/>
    <w:rsid w:val="00693916"/>
    <w:rsid w:val="0069524A"/>
    <w:rsid w:val="00697D66"/>
    <w:rsid w:val="006E4537"/>
    <w:rsid w:val="0071091F"/>
    <w:rsid w:val="00711D3F"/>
    <w:rsid w:val="00787599"/>
    <w:rsid w:val="007937E4"/>
    <w:rsid w:val="007A4A3A"/>
    <w:rsid w:val="007B492D"/>
    <w:rsid w:val="007B5AB9"/>
    <w:rsid w:val="007C0CE3"/>
    <w:rsid w:val="007C2F52"/>
    <w:rsid w:val="007E361E"/>
    <w:rsid w:val="007F528E"/>
    <w:rsid w:val="00804B05"/>
    <w:rsid w:val="008164D4"/>
    <w:rsid w:val="0082053D"/>
    <w:rsid w:val="0084748D"/>
    <w:rsid w:val="00862B8D"/>
    <w:rsid w:val="008706FD"/>
    <w:rsid w:val="008A06A1"/>
    <w:rsid w:val="008A61F7"/>
    <w:rsid w:val="008B7B9D"/>
    <w:rsid w:val="008C5F41"/>
    <w:rsid w:val="008F1C07"/>
    <w:rsid w:val="00915F34"/>
    <w:rsid w:val="00961B06"/>
    <w:rsid w:val="009723B3"/>
    <w:rsid w:val="00993CD0"/>
    <w:rsid w:val="009B0CB7"/>
    <w:rsid w:val="009E1AE0"/>
    <w:rsid w:val="009F208B"/>
    <w:rsid w:val="00A229CE"/>
    <w:rsid w:val="00A22CBE"/>
    <w:rsid w:val="00A22E27"/>
    <w:rsid w:val="00A368DA"/>
    <w:rsid w:val="00A91A71"/>
    <w:rsid w:val="00AA031C"/>
    <w:rsid w:val="00AB41D9"/>
    <w:rsid w:val="00AB766B"/>
    <w:rsid w:val="00AC1E04"/>
    <w:rsid w:val="00AD20A3"/>
    <w:rsid w:val="00B02E6D"/>
    <w:rsid w:val="00B174DC"/>
    <w:rsid w:val="00B35EB8"/>
    <w:rsid w:val="00B42CE2"/>
    <w:rsid w:val="00B4480D"/>
    <w:rsid w:val="00B53575"/>
    <w:rsid w:val="00B643CF"/>
    <w:rsid w:val="00B80226"/>
    <w:rsid w:val="00B94D38"/>
    <w:rsid w:val="00BE25EB"/>
    <w:rsid w:val="00C01861"/>
    <w:rsid w:val="00C100EB"/>
    <w:rsid w:val="00C11E44"/>
    <w:rsid w:val="00C200C2"/>
    <w:rsid w:val="00C20C1B"/>
    <w:rsid w:val="00C251A3"/>
    <w:rsid w:val="00C332BC"/>
    <w:rsid w:val="00C450E5"/>
    <w:rsid w:val="00C46765"/>
    <w:rsid w:val="00C47D55"/>
    <w:rsid w:val="00C55D7F"/>
    <w:rsid w:val="00C676D4"/>
    <w:rsid w:val="00C709E6"/>
    <w:rsid w:val="00C72060"/>
    <w:rsid w:val="00CB3357"/>
    <w:rsid w:val="00CC6E0E"/>
    <w:rsid w:val="00CE48AF"/>
    <w:rsid w:val="00CE61D5"/>
    <w:rsid w:val="00CF26A6"/>
    <w:rsid w:val="00D12AA0"/>
    <w:rsid w:val="00D14CD2"/>
    <w:rsid w:val="00D2439B"/>
    <w:rsid w:val="00D632A4"/>
    <w:rsid w:val="00D84C75"/>
    <w:rsid w:val="00D859D4"/>
    <w:rsid w:val="00DD2931"/>
    <w:rsid w:val="00DE4452"/>
    <w:rsid w:val="00E349F5"/>
    <w:rsid w:val="00E41B1D"/>
    <w:rsid w:val="00E958E1"/>
    <w:rsid w:val="00EA39DA"/>
    <w:rsid w:val="00EA673D"/>
    <w:rsid w:val="00EB4A76"/>
    <w:rsid w:val="00EC4DB3"/>
    <w:rsid w:val="00EC67D0"/>
    <w:rsid w:val="00ED5150"/>
    <w:rsid w:val="00EE4A8A"/>
    <w:rsid w:val="00EF40DA"/>
    <w:rsid w:val="00F2032E"/>
    <w:rsid w:val="00F23DF4"/>
    <w:rsid w:val="00F5399A"/>
    <w:rsid w:val="00F75B86"/>
    <w:rsid w:val="00F8523C"/>
    <w:rsid w:val="00F8641B"/>
    <w:rsid w:val="00F95527"/>
    <w:rsid w:val="00FB1E08"/>
    <w:rsid w:val="00F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0664EE3-A791-4100-88D1-C3294790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B9D"/>
    <w:rPr>
      <w:sz w:val="24"/>
      <w:szCs w:val="24"/>
    </w:rPr>
  </w:style>
  <w:style w:type="paragraph" w:styleId="Nadpis1">
    <w:name w:val="heading 1"/>
    <w:aliases w:val="nadpis H,Nadpis spec1,Za A,kapitola,Hlavní nadpis,text-pozice,muj nadpis,Nadpis 1123"/>
    <w:basedOn w:val="Normln"/>
    <w:next w:val="Normln"/>
    <w:qFormat/>
    <w:rsid w:val="008B7B9D"/>
    <w:pPr>
      <w:keepNext/>
      <w:jc w:val="both"/>
      <w:outlineLvl w:val="0"/>
    </w:pPr>
    <w:rPr>
      <w:b/>
    </w:rPr>
  </w:style>
  <w:style w:type="paragraph" w:styleId="Nadpis2">
    <w:name w:val="heading 2"/>
    <w:aliases w:val="2.1 Nadpis 2,Nadpisspec2,1.1 Nadpis 2,Za 1.,clanek,Nadpis nižší úrovně"/>
    <w:basedOn w:val="Normln"/>
    <w:next w:val="Normln"/>
    <w:qFormat/>
    <w:rsid w:val="008B7B9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dpis3">
    <w:name w:val="heading 3"/>
    <w:aliases w:val="Titul1,Za a),podclanek"/>
    <w:basedOn w:val="Normln"/>
    <w:next w:val="Normln"/>
    <w:qFormat/>
    <w:rsid w:val="008B7B9D"/>
    <w:pPr>
      <w:keepNext/>
      <w:outlineLvl w:val="2"/>
    </w:pPr>
    <w:rPr>
      <w:b/>
      <w:bCs/>
    </w:rPr>
  </w:style>
  <w:style w:type="paragraph" w:styleId="Nadpis4">
    <w:name w:val="heading 4"/>
    <w:aliases w:val="Titul2"/>
    <w:basedOn w:val="Normln"/>
    <w:next w:val="Normln"/>
    <w:qFormat/>
    <w:rsid w:val="008B7B9D"/>
    <w:pPr>
      <w:keepNext/>
      <w:spacing w:before="120"/>
      <w:outlineLvl w:val="3"/>
    </w:pPr>
    <w:rPr>
      <w:rFonts w:ascii="Arial" w:hAnsi="Arial"/>
      <w:b/>
      <w:sz w:val="28"/>
      <w:szCs w:val="20"/>
      <w:u w:val="single"/>
    </w:rPr>
  </w:style>
  <w:style w:type="paragraph" w:styleId="Nadpis5">
    <w:name w:val="heading 5"/>
    <w:basedOn w:val="Normln"/>
    <w:next w:val="Normln"/>
    <w:qFormat/>
    <w:rsid w:val="008B7B9D"/>
    <w:pPr>
      <w:keepNext/>
      <w:spacing w:before="120"/>
      <w:jc w:val="both"/>
      <w:outlineLvl w:val="4"/>
    </w:pPr>
    <w:rPr>
      <w:rFonts w:ascii="Arial" w:hAnsi="Arial"/>
      <w:b/>
      <w:szCs w:val="20"/>
      <w:u w:val="single"/>
    </w:rPr>
  </w:style>
  <w:style w:type="paragraph" w:styleId="Nadpis6">
    <w:name w:val="heading 6"/>
    <w:basedOn w:val="Normln"/>
    <w:next w:val="Normln"/>
    <w:qFormat/>
    <w:rsid w:val="008B7B9D"/>
    <w:pPr>
      <w:keepNext/>
      <w:ind w:firstLine="708"/>
      <w:jc w:val="both"/>
      <w:outlineLvl w:val="5"/>
    </w:pPr>
    <w:rPr>
      <w:b/>
      <w:bCs/>
      <w:i/>
      <w:iCs/>
      <w:szCs w:val="20"/>
    </w:rPr>
  </w:style>
  <w:style w:type="paragraph" w:styleId="Nadpis7">
    <w:name w:val="heading 7"/>
    <w:basedOn w:val="Normln"/>
    <w:next w:val="Normln"/>
    <w:qFormat/>
    <w:rsid w:val="008B7B9D"/>
    <w:pPr>
      <w:keepNext/>
      <w:jc w:val="both"/>
      <w:outlineLvl w:val="6"/>
    </w:pPr>
    <w:rPr>
      <w:rFonts w:ascii="Arial" w:hAnsi="Arial"/>
      <w:sz w:val="22"/>
      <w:szCs w:val="20"/>
      <w:u w:val="single"/>
    </w:rPr>
  </w:style>
  <w:style w:type="paragraph" w:styleId="Nadpis8">
    <w:name w:val="heading 8"/>
    <w:basedOn w:val="Normln"/>
    <w:next w:val="Normln"/>
    <w:qFormat/>
    <w:rsid w:val="008B7B9D"/>
    <w:pPr>
      <w:keepNext/>
      <w:jc w:val="both"/>
      <w:outlineLvl w:val="7"/>
    </w:pPr>
    <w:rPr>
      <w:b/>
      <w:sz w:val="20"/>
      <w:szCs w:val="20"/>
    </w:rPr>
  </w:style>
  <w:style w:type="paragraph" w:styleId="Nadpis9">
    <w:name w:val="heading 9"/>
    <w:basedOn w:val="Normln"/>
    <w:next w:val="Zkladntext"/>
    <w:qFormat/>
    <w:rsid w:val="008B7B9D"/>
    <w:pPr>
      <w:keepNext/>
      <w:widowControl w:val="0"/>
      <w:overflowPunct w:val="0"/>
      <w:autoSpaceDE w:val="0"/>
      <w:autoSpaceDN w:val="0"/>
      <w:adjustRightInd w:val="0"/>
      <w:spacing w:before="80" w:after="60"/>
      <w:jc w:val="both"/>
      <w:textAlignment w:val="baseline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B7B9D"/>
    <w:pPr>
      <w:overflowPunct w:val="0"/>
      <w:autoSpaceDE w:val="0"/>
      <w:autoSpaceDN w:val="0"/>
      <w:adjustRightInd w:val="0"/>
      <w:jc w:val="both"/>
      <w:textAlignment w:val="baseline"/>
    </w:pPr>
    <w:rPr>
      <w:rFonts w:ascii="MS Serif" w:hAnsi="MS Serif"/>
      <w:szCs w:val="20"/>
    </w:rPr>
  </w:style>
  <w:style w:type="paragraph" w:styleId="Zhlav">
    <w:name w:val="header"/>
    <w:basedOn w:val="Normln"/>
    <w:link w:val="ZhlavChar"/>
    <w:semiHidden/>
    <w:rsid w:val="008B7B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B7B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B7B9D"/>
  </w:style>
  <w:style w:type="paragraph" w:styleId="Zkladntext2">
    <w:name w:val="Body Text 2"/>
    <w:basedOn w:val="Normln"/>
    <w:semiHidden/>
    <w:rsid w:val="008B7B9D"/>
    <w:pPr>
      <w:widowControl w:val="0"/>
      <w:spacing w:before="120" w:line="240" w:lineRule="atLeast"/>
      <w:jc w:val="both"/>
    </w:pPr>
    <w:rPr>
      <w:rFonts w:ascii="Arial" w:hAnsi="Arial"/>
      <w:color w:val="FF0000"/>
      <w:sz w:val="22"/>
      <w:szCs w:val="20"/>
    </w:rPr>
  </w:style>
  <w:style w:type="paragraph" w:styleId="Zkladntext3">
    <w:name w:val="Body Text 3"/>
    <w:basedOn w:val="Normln"/>
    <w:semiHidden/>
    <w:rsid w:val="008B7B9D"/>
    <w:pPr>
      <w:jc w:val="both"/>
    </w:pPr>
    <w:rPr>
      <w:rFonts w:ascii="Arial" w:hAnsi="Arial"/>
      <w:sz w:val="22"/>
      <w:szCs w:val="20"/>
    </w:rPr>
  </w:style>
  <w:style w:type="paragraph" w:styleId="Zkladntextodsazen">
    <w:name w:val="Body Text Indent"/>
    <w:basedOn w:val="Normln"/>
    <w:semiHidden/>
    <w:rsid w:val="008B7B9D"/>
    <w:pPr>
      <w:ind w:firstLine="708"/>
      <w:jc w:val="both"/>
    </w:pPr>
    <w:rPr>
      <w:szCs w:val="20"/>
    </w:rPr>
  </w:style>
  <w:style w:type="paragraph" w:customStyle="1" w:styleId="Prosttext1">
    <w:name w:val="Prostý text1"/>
    <w:basedOn w:val="Normln"/>
    <w:rsid w:val="008B7B9D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semiHidden/>
    <w:rsid w:val="008B7B9D"/>
    <w:pPr>
      <w:ind w:firstLine="567"/>
    </w:pPr>
    <w:rPr>
      <w:szCs w:val="20"/>
    </w:rPr>
  </w:style>
  <w:style w:type="paragraph" w:styleId="Zkladntextodsazen3">
    <w:name w:val="Body Text Indent 3"/>
    <w:basedOn w:val="Normln"/>
    <w:semiHidden/>
    <w:rsid w:val="008B7B9D"/>
    <w:pPr>
      <w:ind w:firstLine="708"/>
      <w:jc w:val="both"/>
    </w:pPr>
    <w:rPr>
      <w:color w:val="FF0000"/>
    </w:rPr>
  </w:style>
  <w:style w:type="paragraph" w:customStyle="1" w:styleId="BodyText21">
    <w:name w:val="Body Text 21"/>
    <w:basedOn w:val="Normln"/>
    <w:rsid w:val="008B7B9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8B7B9D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Odstavec1">
    <w:name w:val="Odstavec 1"/>
    <w:basedOn w:val="Normln"/>
    <w:rsid w:val="008B7B9D"/>
    <w:pPr>
      <w:jc w:val="both"/>
    </w:pPr>
    <w:rPr>
      <w:szCs w:val="20"/>
    </w:rPr>
  </w:style>
  <w:style w:type="paragraph" w:customStyle="1" w:styleId="TextMar">
    <w:name w:val="TextMar"/>
    <w:basedOn w:val="Normln"/>
    <w:rsid w:val="008B7B9D"/>
    <w:pPr>
      <w:spacing w:after="120"/>
      <w:ind w:firstLine="709"/>
    </w:pPr>
    <w:rPr>
      <w:sz w:val="20"/>
      <w:szCs w:val="20"/>
    </w:rPr>
  </w:style>
  <w:style w:type="paragraph" w:customStyle="1" w:styleId="Zakla001">
    <w:name w:val="Z&lt;/a&gt;kla001"/>
    <w:basedOn w:val="Normln"/>
    <w:rsid w:val="008B7B9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color w:val="000000"/>
      <w:szCs w:val="20"/>
    </w:rPr>
  </w:style>
  <w:style w:type="paragraph" w:styleId="Textkomente">
    <w:name w:val="annotation text"/>
    <w:basedOn w:val="Normln"/>
    <w:semiHidden/>
    <w:rsid w:val="008B7B9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ln2">
    <w:name w:val="Normální2"/>
    <w:basedOn w:val="Normln"/>
    <w:rsid w:val="008B7B9D"/>
    <w:pPr>
      <w:widowControl w:val="0"/>
    </w:pPr>
    <w:rPr>
      <w:noProof/>
      <w:sz w:val="20"/>
      <w:szCs w:val="20"/>
    </w:rPr>
  </w:style>
  <w:style w:type="paragraph" w:styleId="Nzev">
    <w:name w:val="Title"/>
    <w:basedOn w:val="Normln"/>
    <w:qFormat/>
    <w:rsid w:val="008B7B9D"/>
    <w:pPr>
      <w:jc w:val="center"/>
    </w:pPr>
    <w:rPr>
      <w:b/>
      <w:i/>
      <w:sz w:val="52"/>
      <w:szCs w:val="20"/>
    </w:rPr>
  </w:style>
  <w:style w:type="paragraph" w:styleId="Bezmezer">
    <w:name w:val="No Spacing"/>
    <w:qFormat/>
    <w:rsid w:val="008B7B9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62B8D"/>
    <w:pPr>
      <w:spacing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D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23DF4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961B06"/>
    <w:pPr>
      <w:widowControl w:val="0"/>
      <w:spacing w:before="120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D85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semiHidden/>
    <w:rsid w:val="007B492D"/>
    <w:rPr>
      <w:sz w:val="24"/>
      <w:szCs w:val="24"/>
    </w:rPr>
  </w:style>
  <w:style w:type="paragraph" w:customStyle="1" w:styleId="Zkladntextodsazen22">
    <w:name w:val="Základní text odsazený 22"/>
    <w:basedOn w:val="Normln"/>
    <w:rsid w:val="007B492D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372A-8644-4416-88C8-CE2A576B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STUDIO B, Paseky 616, 763 11 Zlín – Želechovice</vt:lpstr>
    </vt:vector>
  </TitlesOfParts>
  <Company>.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B, Paseky 616, 763 11 Zlín – Želechovice</dc:title>
  <dc:creator>JITKA</dc:creator>
  <cp:lastModifiedBy>Dostál Petr</cp:lastModifiedBy>
  <cp:revision>3</cp:revision>
  <cp:lastPrinted>2019-09-06T09:22:00Z</cp:lastPrinted>
  <dcterms:created xsi:type="dcterms:W3CDTF">2019-09-30T15:28:00Z</dcterms:created>
  <dcterms:modified xsi:type="dcterms:W3CDTF">2020-02-27T08:21:00Z</dcterms:modified>
</cp:coreProperties>
</file>