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8B52B6"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r>
      <w:r w:rsidR="00EB4930">
        <w:rPr>
          <w:rFonts w:ascii="Tahoma" w:hAnsi="Tahoma" w:cs="Tahoma"/>
          <w:sz w:val="20"/>
          <w:szCs w:val="20"/>
        </w:rPr>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r>
      <w:proofErr w:type="spellStart"/>
      <w:r w:rsidR="00EB4930">
        <w:rPr>
          <w:rFonts w:ascii="Tahoma" w:hAnsi="Tahoma" w:cs="Tahoma"/>
          <w:sz w:val="20"/>
          <w:szCs w:val="20"/>
        </w:rPr>
        <w:t>Roškotova</w:t>
      </w:r>
      <w:proofErr w:type="spellEnd"/>
      <w:r w:rsidR="00EB4930">
        <w:rPr>
          <w:rFonts w:ascii="Tahoma" w:hAnsi="Tahoma" w:cs="Tahoma"/>
          <w:sz w:val="20"/>
          <w:szCs w:val="20"/>
        </w:rPr>
        <w:t xml:space="preserve"> 1225/1, PSČ 140 21, Praha 4</w:t>
      </w:r>
      <w:r w:rsidRPr="00796A54">
        <w:rPr>
          <w:rFonts w:ascii="Tahoma" w:hAnsi="Tahoma" w:cs="Tahoma"/>
          <w:sz w:val="20"/>
          <w:szCs w:val="20"/>
        </w:rPr>
        <w:t xml:space="preserve">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r>
      <w:r w:rsidR="00EB4930">
        <w:rPr>
          <w:rFonts w:ascii="Tahoma" w:hAnsi="Tahoma" w:cs="Tahoma"/>
          <w:sz w:val="20"/>
          <w:szCs w:val="20"/>
        </w:rPr>
        <w:t>47114321</w:t>
      </w:r>
      <w:r w:rsidR="00EB4930">
        <w:rPr>
          <w:rFonts w:ascii="Tahoma" w:hAnsi="Tahoma" w:cs="Tahoma"/>
          <w:sz w:val="20"/>
          <w:szCs w:val="20"/>
        </w:rPr>
        <w:tab/>
      </w:r>
    </w:p>
    <w:p w:rsidR="00DB4EF0" w:rsidRPr="00796A54" w:rsidRDefault="00EB4930" w:rsidP="005F480E">
      <w:pPr>
        <w:autoSpaceDE w:val="0"/>
        <w:autoSpaceDN w:val="0"/>
        <w:adjustRightInd w:val="0"/>
        <w:rPr>
          <w:rFonts w:ascii="Tahoma" w:hAnsi="Tahoma" w:cs="Tahoma"/>
          <w:sz w:val="20"/>
          <w:szCs w:val="20"/>
        </w:rPr>
      </w:pPr>
      <w:r>
        <w:rPr>
          <w:rFonts w:ascii="Tahoma" w:hAnsi="Tahoma" w:cs="Tahoma"/>
          <w:sz w:val="20"/>
          <w:szCs w:val="20"/>
        </w:rPr>
        <w:t xml:space="preserve">Veřejná zakázka:     Výstavba, implementace a technická podpora Integrovaného Centrálního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Informačního Systému (ICIS) OZP </w:t>
      </w:r>
      <w:r>
        <w:rPr>
          <w:rFonts w:ascii="Tahoma" w:hAnsi="Tahoma" w:cs="Tahoma"/>
          <w:sz w:val="20"/>
          <w:szCs w:val="20"/>
        </w:rPr>
        <w:tab/>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EB4930">
        <w:rPr>
          <w:rFonts w:ascii="Tahoma" w:hAnsi="Tahoma" w:cs="Tahoma"/>
          <w:color w:val="auto"/>
          <w:sz w:val="20"/>
          <w:szCs w:val="20"/>
        </w:rPr>
        <w:t>480816</w:t>
      </w:r>
    </w:p>
    <w:p w:rsidR="00DB4EF0" w:rsidRPr="00855566" w:rsidRDefault="004D00E9" w:rsidP="0014223D">
      <w:pPr>
        <w:pStyle w:val="Default"/>
        <w:rPr>
          <w:rFonts w:ascii="Tahoma" w:hAnsi="Tahoma" w:cs="Tahoma"/>
          <w:color w:val="auto"/>
          <w:sz w:val="20"/>
          <w:szCs w:val="20"/>
        </w:rPr>
      </w:pPr>
      <w:proofErr w:type="spellStart"/>
      <w:proofErr w:type="gramStart"/>
      <w:r w:rsidRPr="00796A54">
        <w:rPr>
          <w:rFonts w:ascii="Tahoma" w:hAnsi="Tahoma" w:cs="Tahoma"/>
          <w:color w:val="auto"/>
          <w:sz w:val="20"/>
          <w:szCs w:val="20"/>
        </w:rPr>
        <w:t>Č.j</w:t>
      </w:r>
      <w:proofErr w:type="spellEnd"/>
      <w:r w:rsidRPr="00796A54">
        <w:rPr>
          <w:rFonts w:ascii="Tahoma" w:hAnsi="Tahoma" w:cs="Tahoma"/>
          <w:color w:val="auto"/>
          <w:sz w:val="20"/>
          <w:szCs w:val="20"/>
        </w:rPr>
        <w:t>.</w:t>
      </w:r>
      <w:proofErr w:type="gramEnd"/>
      <w:r w:rsidRPr="00796A54">
        <w:rPr>
          <w:rFonts w:ascii="Tahoma" w:hAnsi="Tahoma" w:cs="Tahoma"/>
          <w:color w:val="auto"/>
          <w:sz w:val="20"/>
          <w:szCs w:val="20"/>
        </w:rPr>
        <w:t xml:space="preserve"> zadavatele:     </w:t>
      </w:r>
      <w:r w:rsidRPr="00855566">
        <w:rPr>
          <w:rFonts w:ascii="Tahoma" w:hAnsi="Tahoma" w:cs="Tahoma"/>
          <w:color w:val="auto"/>
          <w:sz w:val="20"/>
          <w:szCs w:val="20"/>
        </w:rPr>
        <w:t xml:space="preserve">  </w:t>
      </w:r>
      <w:r w:rsidR="00510E5F" w:rsidRPr="00855566">
        <w:rPr>
          <w:rFonts w:ascii="Tahoma" w:hAnsi="Tahoma" w:cs="Tahoma"/>
          <w:color w:val="auto"/>
          <w:sz w:val="20"/>
          <w:szCs w:val="20"/>
        </w:rPr>
        <w:t xml:space="preserve"> </w:t>
      </w:r>
      <w:r w:rsidR="00EB4930">
        <w:rPr>
          <w:rFonts w:ascii="Tahoma" w:hAnsi="Tahoma" w:cs="Tahoma"/>
          <w:color w:val="auto"/>
          <w:sz w:val="20"/>
          <w:szCs w:val="20"/>
        </w:rPr>
        <w:t>OZP-VZ-2014-004</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Default="00147E2A" w:rsidP="00E34B16">
      <w:pPr>
        <w:jc w:val="both"/>
        <w:rPr>
          <w:rFonts w:ascii="Tahoma" w:hAnsi="Tahoma" w:cs="Tahoma"/>
          <w:sz w:val="20"/>
          <w:szCs w:val="20"/>
        </w:rPr>
      </w:pPr>
      <w:r w:rsidRPr="00796A54">
        <w:rPr>
          <w:rFonts w:ascii="Tahoma" w:hAnsi="Tahoma" w:cs="Tahoma"/>
          <w:sz w:val="20"/>
          <w:szCs w:val="20"/>
        </w:rPr>
        <w:t>V Praze, dne</w:t>
      </w:r>
      <w:r w:rsidR="00825A0C">
        <w:rPr>
          <w:rFonts w:ascii="Tahoma" w:hAnsi="Tahoma" w:cs="Tahoma"/>
          <w:sz w:val="20"/>
          <w:szCs w:val="20"/>
        </w:rPr>
        <w:t xml:space="preserve"> </w:t>
      </w:r>
      <w:r w:rsidR="00264FDC">
        <w:rPr>
          <w:rFonts w:ascii="Tahoma" w:hAnsi="Tahoma" w:cs="Tahoma"/>
          <w:sz w:val="20"/>
          <w:szCs w:val="20"/>
        </w:rPr>
        <w:t>4</w:t>
      </w:r>
      <w:r w:rsidR="00B0504B">
        <w:rPr>
          <w:rFonts w:ascii="Tahoma" w:hAnsi="Tahoma" w:cs="Tahoma"/>
          <w:sz w:val="20"/>
          <w:szCs w:val="20"/>
        </w:rPr>
        <w:t>. 7</w:t>
      </w:r>
      <w:r w:rsidR="00EB4930">
        <w:rPr>
          <w:rFonts w:ascii="Tahoma" w:hAnsi="Tahoma" w:cs="Tahoma"/>
          <w:sz w:val="20"/>
          <w:szCs w:val="20"/>
        </w:rPr>
        <w:t>. 2014</w:t>
      </w:r>
    </w:p>
    <w:p w:rsidR="008B52B6" w:rsidRPr="00796A54" w:rsidRDefault="008B52B6"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D77CF3" w:rsidRDefault="00D77CF3" w:rsidP="00A601AE">
      <w:pPr>
        <w:pStyle w:val="Default"/>
        <w:jc w:val="both"/>
        <w:rPr>
          <w:rFonts w:ascii="Tahoma" w:hAnsi="Tahoma" w:cs="Tahoma"/>
          <w:sz w:val="20"/>
          <w:szCs w:val="20"/>
        </w:rPr>
      </w:pPr>
    </w:p>
    <w:p w:rsidR="00B0504B" w:rsidRDefault="00B0504B" w:rsidP="00A601AE">
      <w:pPr>
        <w:pStyle w:val="Default"/>
        <w:jc w:val="both"/>
        <w:rPr>
          <w:rFonts w:ascii="Tahoma" w:hAnsi="Tahoma" w:cs="Tahoma"/>
          <w:sz w:val="20"/>
          <w:szCs w:val="20"/>
        </w:rPr>
      </w:pPr>
    </w:p>
    <w:p w:rsidR="00162728" w:rsidRDefault="00162728" w:rsidP="00162728">
      <w:pPr>
        <w:rPr>
          <w:rFonts w:ascii="Tahoma" w:hAnsi="Tahoma" w:cs="Tahoma"/>
          <w:b/>
          <w:sz w:val="20"/>
          <w:szCs w:val="20"/>
        </w:rPr>
      </w:pPr>
      <w:r>
        <w:rPr>
          <w:rFonts w:ascii="Tahoma" w:hAnsi="Tahoma" w:cs="Tahoma"/>
          <w:b/>
          <w:sz w:val="20"/>
          <w:szCs w:val="20"/>
        </w:rPr>
        <w:t xml:space="preserve">Dotaz uchazeče </w:t>
      </w:r>
    </w:p>
    <w:p w:rsidR="00B0504B" w:rsidRP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 xml:space="preserve">V příloze 2A „Smlouva o vytvoření Integrovaného Centrálního Informačního systému OZP (ICIS)" je uvedeno v bodě III.6 b) a </w:t>
      </w:r>
      <w:proofErr w:type="gramStart"/>
      <w:r w:rsidRPr="00264FDC">
        <w:rPr>
          <w:rFonts w:ascii="Tahoma" w:hAnsi="Tahoma" w:cs="Tahoma"/>
          <w:sz w:val="20"/>
          <w:szCs w:val="20"/>
        </w:rPr>
        <w:t>II.6 c), že</w:t>
      </w:r>
      <w:proofErr w:type="gramEnd"/>
      <w:r w:rsidRPr="00264FDC">
        <w:rPr>
          <w:rFonts w:ascii="Tahoma" w:hAnsi="Tahoma" w:cs="Tahoma"/>
          <w:sz w:val="20"/>
          <w:szCs w:val="20"/>
        </w:rPr>
        <w:t xml:space="preserve"> zaplacení určité části díla bude provedeno až v určitém období „roku bezprostředně následujícího po prvním uceleném kalendářním roce nepřetržitého užívání určité části díla". Z určitých důvodů však může být vhodnější začít využívat systém nebo jeho část o několik dní později než </w:t>
      </w:r>
      <w:proofErr w:type="gramStart"/>
      <w:r w:rsidRPr="00264FDC">
        <w:rPr>
          <w:rFonts w:ascii="Tahoma" w:hAnsi="Tahoma" w:cs="Tahoma"/>
          <w:sz w:val="20"/>
          <w:szCs w:val="20"/>
        </w:rPr>
        <w:t>1.1. a přesto</w:t>
      </w:r>
      <w:proofErr w:type="gramEnd"/>
      <w:r w:rsidRPr="00264FDC">
        <w:rPr>
          <w:rFonts w:ascii="Tahoma" w:hAnsi="Tahoma" w:cs="Tahoma"/>
          <w:sz w:val="20"/>
          <w:szCs w:val="20"/>
        </w:rPr>
        <w:t xml:space="preserve"> bude systém reálně užíván organizací pro celý daný rok. Bude se pak zmiňovaný „kalendářní rok nepřetržitého užívání" počítat jako „12 po sobě jdoucích kalendářních měsíců" a tedy v případě zahájení užívání celého systému například k </w:t>
      </w:r>
      <w:proofErr w:type="gramStart"/>
      <w:r w:rsidRPr="00264FDC">
        <w:rPr>
          <w:rFonts w:ascii="Tahoma" w:hAnsi="Tahoma" w:cs="Tahoma"/>
          <w:sz w:val="20"/>
          <w:szCs w:val="20"/>
        </w:rPr>
        <w:t>1.2.2017</w:t>
      </w:r>
      <w:proofErr w:type="gramEnd"/>
      <w:r w:rsidRPr="00264FDC">
        <w:rPr>
          <w:rFonts w:ascii="Tahoma" w:hAnsi="Tahoma" w:cs="Tahoma"/>
          <w:sz w:val="20"/>
          <w:szCs w:val="20"/>
        </w:rPr>
        <w:t xml:space="preserve"> bude zhotovitel oprávněn žádat zaplacení zbytku ceny od 1.4.2018, respektive 1.6.2018?</w:t>
      </w:r>
    </w:p>
    <w:p w:rsidR="00264FDC" w:rsidRDefault="00264FDC" w:rsidP="00F542AB">
      <w:pPr>
        <w:jc w:val="both"/>
        <w:rPr>
          <w:rFonts w:ascii="Tahoma" w:hAnsi="Tahoma" w:cs="Tahoma"/>
          <w:b/>
          <w:sz w:val="20"/>
          <w:szCs w:val="20"/>
        </w:rPr>
      </w:pPr>
    </w:p>
    <w:p w:rsidR="00162728" w:rsidRPr="008B52B6" w:rsidRDefault="00162728" w:rsidP="00F542AB">
      <w:pPr>
        <w:jc w:val="both"/>
        <w:rPr>
          <w:rFonts w:ascii="Tahoma" w:hAnsi="Tahoma" w:cs="Tahoma"/>
          <w:b/>
          <w:sz w:val="20"/>
          <w:szCs w:val="20"/>
        </w:rPr>
      </w:pPr>
      <w:r>
        <w:rPr>
          <w:rFonts w:ascii="Tahoma" w:hAnsi="Tahoma" w:cs="Tahoma"/>
          <w:b/>
          <w:sz w:val="20"/>
          <w:szCs w:val="20"/>
        </w:rPr>
        <w:t>Odpověď zadav</w:t>
      </w:r>
      <w:r w:rsidR="00B0504B">
        <w:rPr>
          <w:rFonts w:ascii="Tahoma" w:hAnsi="Tahoma" w:cs="Tahoma"/>
          <w:b/>
          <w:sz w:val="20"/>
          <w:szCs w:val="20"/>
        </w:rPr>
        <w:t>a</w:t>
      </w:r>
      <w:r w:rsidR="00264FDC">
        <w:rPr>
          <w:rFonts w:ascii="Tahoma" w:hAnsi="Tahoma" w:cs="Tahoma"/>
          <w:b/>
          <w:sz w:val="20"/>
          <w:szCs w:val="20"/>
        </w:rPr>
        <w:t>tele - Dodatečná informace č. 20</w:t>
      </w:r>
    </w:p>
    <w:p w:rsidR="00264FDC" w:rsidRP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 xml:space="preserve">Dle čl. III odst. 6 písm. b) a c) Smlouvy o vytvoření Integrovaného centrálního informačního systému OZP (ICIS) může Zhotovitel žádat zaplacení stanovené části ceny uvedené v odstavci 1 téhož článku kromě jiných pravidel také nejdříve po prvním uceleném kalendářním roce nepřetržitého užívání. Dle obecného chápání je kalendářním rokem období 12 po sobě bezprostředně následujících měsíců, které začíná prvním dnem měsíce ledna. Tuto definici lze podpořit á </w:t>
      </w:r>
      <w:proofErr w:type="spellStart"/>
      <w:r w:rsidRPr="00264FDC">
        <w:rPr>
          <w:rFonts w:ascii="Tahoma" w:hAnsi="Tahoma" w:cs="Tahoma"/>
          <w:sz w:val="20"/>
          <w:szCs w:val="20"/>
        </w:rPr>
        <w:t>contrario</w:t>
      </w:r>
      <w:proofErr w:type="spellEnd"/>
      <w:r w:rsidRPr="00264FDC">
        <w:rPr>
          <w:rFonts w:ascii="Tahoma" w:hAnsi="Tahoma" w:cs="Tahoma"/>
          <w:sz w:val="20"/>
          <w:szCs w:val="20"/>
        </w:rPr>
        <w:t xml:space="preserve"> definicí hospodářského roku dle § 3 odst. 2 zákona č. 563/1991 Sb., o účetnictví. Bude-li například zahájeno užívání uvedené části díla a zároveň budou splněny další podmínky ke dni 1. 2. 2017, může Zhotovitel vyzvat Objednatele k zaplacení (za naplnění dalších pravidel) nejdříve 1. 4. resp. 1. 6. 2019. </w:t>
      </w:r>
    </w:p>
    <w:p w:rsidR="00B0504B" w:rsidRDefault="00B0504B" w:rsidP="00F542AB">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P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 xml:space="preserve">Ve kterém termínu v každém roce provádí Zadavatel obvykle účetní závěrku předchozího </w:t>
      </w:r>
      <w:proofErr w:type="gramStart"/>
      <w:r w:rsidRPr="00264FDC">
        <w:rPr>
          <w:rFonts w:ascii="Tahoma" w:hAnsi="Tahoma" w:cs="Tahoma"/>
          <w:sz w:val="20"/>
          <w:szCs w:val="20"/>
        </w:rPr>
        <w:t>roku ?</w:t>
      </w:r>
      <w:proofErr w:type="gramEnd"/>
    </w:p>
    <w:p w:rsidR="00264FDC" w:rsidRDefault="00264FDC" w:rsidP="00264FDC">
      <w:pPr>
        <w:jc w:val="both"/>
        <w:rPr>
          <w:rFonts w:ascii="Tahoma" w:hAnsi="Tahoma" w:cs="Tahoma"/>
          <w:b/>
          <w:sz w:val="20"/>
          <w:szCs w:val="20"/>
        </w:rPr>
      </w:pPr>
    </w:p>
    <w:p w:rsidR="00264FDC" w:rsidRPr="00264FDC" w:rsidRDefault="00264FDC" w:rsidP="00264FDC">
      <w:pPr>
        <w:jc w:val="both"/>
        <w:rPr>
          <w:rFonts w:ascii="Tahoma" w:hAnsi="Tahoma" w:cs="Tahoma"/>
          <w:b/>
          <w:sz w:val="20"/>
          <w:szCs w:val="20"/>
        </w:rPr>
      </w:pPr>
      <w:r>
        <w:rPr>
          <w:rFonts w:ascii="Tahoma" w:hAnsi="Tahoma" w:cs="Tahoma"/>
          <w:b/>
          <w:sz w:val="20"/>
          <w:szCs w:val="20"/>
        </w:rPr>
        <w:t>Odpověď zadavatele - Dodatečná informace č. 21</w:t>
      </w:r>
    </w:p>
    <w:p w:rsidR="00264FDC" w:rsidRP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Účetní závěrka za účetní období (kalendářní rok) je prováděna v návaznosti na termín stanovený vnitřním předpisem Zadavatele obvykle k datu 15. 3. následujícího kalendářního roku.</w:t>
      </w:r>
    </w:p>
    <w:p w:rsidR="00264FDC" w:rsidRDefault="00264FDC" w:rsidP="00264FDC">
      <w:pPr>
        <w:pStyle w:val="Default"/>
        <w:jc w:val="both"/>
        <w:rPr>
          <w:rFonts w:ascii="Tahoma" w:hAnsi="Tahoma" w:cs="Tahoma"/>
          <w:sz w:val="20"/>
          <w:szCs w:val="20"/>
        </w:rPr>
      </w:pPr>
    </w:p>
    <w:p w:rsidR="00264FDC" w:rsidRDefault="00264FDC"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P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Ve kterém termínu v každém roce provádí Zadavatel obvykle výpočet vyrovnání a regulace za poskytnuté zdravotní služby v předchozím roce?</w:t>
      </w:r>
    </w:p>
    <w:p w:rsidR="00264FDC" w:rsidRDefault="00264FDC" w:rsidP="00264FDC">
      <w:pPr>
        <w:jc w:val="both"/>
        <w:rPr>
          <w:rFonts w:ascii="Tahoma" w:hAnsi="Tahoma" w:cs="Tahoma"/>
          <w:b/>
          <w:sz w:val="20"/>
          <w:szCs w:val="20"/>
        </w:rPr>
      </w:pPr>
    </w:p>
    <w:p w:rsidR="00264FDC" w:rsidRPr="00264FDC" w:rsidRDefault="00264FDC" w:rsidP="00264FDC">
      <w:pPr>
        <w:jc w:val="both"/>
        <w:rPr>
          <w:rFonts w:ascii="Tahoma" w:hAnsi="Tahoma" w:cs="Tahoma"/>
          <w:b/>
          <w:sz w:val="20"/>
          <w:szCs w:val="20"/>
        </w:rPr>
      </w:pPr>
      <w:r>
        <w:rPr>
          <w:rFonts w:ascii="Tahoma" w:hAnsi="Tahoma" w:cs="Tahoma"/>
          <w:b/>
          <w:sz w:val="20"/>
          <w:szCs w:val="20"/>
        </w:rPr>
        <w:t>Odpověď zadavatele - Dodatečná informace č. 22</w:t>
      </w:r>
    </w:p>
    <w:p w:rsidR="00264FDC" w:rsidRDefault="00264FDC" w:rsidP="00264FDC">
      <w:pPr>
        <w:autoSpaceDE w:val="0"/>
        <w:autoSpaceDN w:val="0"/>
        <w:adjustRightInd w:val="0"/>
        <w:jc w:val="both"/>
        <w:rPr>
          <w:rFonts w:ascii="Tahoma" w:hAnsi="Tahoma" w:cs="Tahoma"/>
          <w:sz w:val="20"/>
          <w:szCs w:val="20"/>
        </w:rPr>
      </w:pPr>
      <w:proofErr w:type="gramStart"/>
      <w:r w:rsidRPr="00264FDC">
        <w:rPr>
          <w:rFonts w:ascii="Tahoma" w:hAnsi="Tahoma" w:cs="Tahoma"/>
          <w:sz w:val="20"/>
          <w:szCs w:val="20"/>
        </w:rPr>
        <w:t>Zadavatel  provádí</w:t>
      </w:r>
      <w:proofErr w:type="gramEnd"/>
      <w:r w:rsidRPr="00264FDC">
        <w:rPr>
          <w:rFonts w:ascii="Tahoma" w:hAnsi="Tahoma" w:cs="Tahoma"/>
          <w:sz w:val="20"/>
          <w:szCs w:val="20"/>
        </w:rPr>
        <w:t xml:space="preserve">  výpočet vyrovnání a regulace za poskytnuté zdravotní služby v předchozím roce v termínech stanovených úhradovými vyhláškami případně jinými právními předpisy. Obvyklé termíny jsou pro ambulantní zařízení do 30.4 následujícího roku, pro lůžková zařízení do 30.6 následujícího roku. </w:t>
      </w:r>
    </w:p>
    <w:p w:rsidR="00264FDC" w:rsidRDefault="00264FDC"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Jaké jsou lhůty splatnosti faktur za služby, které zpracovává výdajová část? Jedná se nám zejména o faktury za péči poskytnutou lázněmi a rehabilitačními ústavy, ambulantní specialisty, praktickými lékaři a nemocnicemi a dále o refundace a přímé platby. Je tato lhůta nějakým způsobem modifikována dle způsobu předání dokladů (například zkrácením lhůty při podání přes portál ZP nebo na elektronicky čitelném mediu)?</w:t>
      </w:r>
    </w:p>
    <w:p w:rsidR="00264FDC" w:rsidRPr="00264FDC" w:rsidRDefault="00264FDC" w:rsidP="00264FDC">
      <w:pPr>
        <w:autoSpaceDE w:val="0"/>
        <w:autoSpaceDN w:val="0"/>
        <w:adjustRightInd w:val="0"/>
        <w:jc w:val="both"/>
        <w:rPr>
          <w:rFonts w:ascii="Tahoma" w:hAnsi="Tahoma" w:cs="Tahoma"/>
          <w:sz w:val="20"/>
          <w:szCs w:val="20"/>
        </w:rPr>
      </w:pPr>
    </w:p>
    <w:p w:rsidR="00264FDC" w:rsidRPr="00264FDC" w:rsidRDefault="00264FDC" w:rsidP="00264FDC">
      <w:pPr>
        <w:jc w:val="both"/>
        <w:rPr>
          <w:rFonts w:ascii="Tahoma" w:hAnsi="Tahoma" w:cs="Tahoma"/>
          <w:b/>
          <w:sz w:val="20"/>
          <w:szCs w:val="20"/>
        </w:rPr>
      </w:pPr>
      <w:r>
        <w:rPr>
          <w:rFonts w:ascii="Tahoma" w:hAnsi="Tahoma" w:cs="Tahoma"/>
          <w:b/>
          <w:sz w:val="20"/>
          <w:szCs w:val="20"/>
        </w:rPr>
        <w:t>Odpověď zadavatele - Dodatečná informace č. 23</w:t>
      </w:r>
    </w:p>
    <w:p w:rsidR="00264FDC" w:rsidRPr="00264FDC" w:rsidRDefault="00264FDC" w:rsidP="00264FDC">
      <w:pPr>
        <w:autoSpaceDE w:val="0"/>
        <w:autoSpaceDN w:val="0"/>
        <w:adjustRightInd w:val="0"/>
        <w:jc w:val="both"/>
        <w:rPr>
          <w:rFonts w:ascii="Tahoma" w:hAnsi="Tahoma" w:cs="Tahoma"/>
          <w:sz w:val="20"/>
          <w:szCs w:val="20"/>
        </w:rPr>
      </w:pPr>
      <w:r w:rsidRPr="00264FDC">
        <w:rPr>
          <w:rFonts w:ascii="Tahoma" w:hAnsi="Tahoma" w:cs="Tahoma"/>
          <w:sz w:val="20"/>
          <w:szCs w:val="20"/>
        </w:rPr>
        <w:t>Lhůty splatnosti faktur jsou různé a mimo jiné i závislé na způsobu předání dokladů. Lhůty splatnosti v OZP jsou 15,20, a výjimečně 50 dnů, přičemž lhůta splatnosti  je nejkratší při vyúčtování cestou Portálu ZP, nejdelší při předání papírových dokladů. U refundací je lhůta splatnosti zpravidla 30 denní, přímé platby mají 2 denní splatnost.</w:t>
      </w:r>
    </w:p>
    <w:p w:rsidR="00264FDC" w:rsidRDefault="00264FDC" w:rsidP="00264FDC">
      <w:pPr>
        <w:pStyle w:val="Default"/>
        <w:jc w:val="both"/>
        <w:rPr>
          <w:rFonts w:ascii="Tahoma" w:hAnsi="Tahoma" w:cs="Tahoma"/>
          <w:sz w:val="20"/>
          <w:szCs w:val="20"/>
        </w:rPr>
      </w:pPr>
    </w:p>
    <w:p w:rsidR="00264FDC" w:rsidRDefault="00264FDC"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Default="00264FDC" w:rsidP="00264FDC">
      <w:pPr>
        <w:jc w:val="both"/>
        <w:rPr>
          <w:rFonts w:ascii="Tahoma" w:hAnsi="Tahoma" w:cs="Tahoma"/>
          <w:sz w:val="20"/>
          <w:szCs w:val="20"/>
        </w:rPr>
      </w:pPr>
      <w:r w:rsidRPr="00264FDC">
        <w:rPr>
          <w:rFonts w:ascii="Tahoma" w:hAnsi="Tahoma" w:cs="Tahoma"/>
          <w:sz w:val="20"/>
          <w:szCs w:val="20"/>
        </w:rPr>
        <w:t>Od kterého okamžiku se počítá splatnost u faktur za služby, které zpracovává výdajová část? Jedná se o fixní termín, termín určený v registrech systému zadavatele nebo o termín uvedený v dokladech předaných zadavateli poskytovateli zdravotních služeb? Jedná se nám zejména o faktury za péči poskytnutou lázněmi a rehabilitačními ústavy, ambulantní specialisty, praktickými lékaři a nemocnicemi a dále o refundace a přímé platby. Je tento termín nějakým způsobem modifikován dle způsobu předání dokladů?</w:t>
      </w:r>
    </w:p>
    <w:p w:rsidR="00264FDC" w:rsidRDefault="00264FDC" w:rsidP="00264FDC">
      <w:pPr>
        <w:jc w:val="both"/>
        <w:rPr>
          <w:rFonts w:ascii="Tahoma" w:hAnsi="Tahoma" w:cs="Tahoma"/>
          <w:sz w:val="20"/>
          <w:szCs w:val="20"/>
        </w:rPr>
      </w:pPr>
    </w:p>
    <w:p w:rsidR="00264FDC" w:rsidRPr="008B52B6" w:rsidRDefault="00264FDC" w:rsidP="00264FDC">
      <w:pPr>
        <w:jc w:val="both"/>
        <w:rPr>
          <w:rFonts w:ascii="Tahoma" w:hAnsi="Tahoma" w:cs="Tahoma"/>
          <w:b/>
          <w:sz w:val="20"/>
          <w:szCs w:val="20"/>
        </w:rPr>
      </w:pPr>
      <w:r>
        <w:rPr>
          <w:rFonts w:ascii="Tahoma" w:hAnsi="Tahoma" w:cs="Tahoma"/>
          <w:b/>
          <w:sz w:val="20"/>
          <w:szCs w:val="20"/>
        </w:rPr>
        <w:t>Odpověď zadavatele - Dodatečná informace č. 24</w:t>
      </w:r>
    </w:p>
    <w:p w:rsidR="00264FDC" w:rsidRPr="00264FDC" w:rsidRDefault="00264FDC" w:rsidP="00264FDC">
      <w:pPr>
        <w:shd w:val="clear" w:color="auto" w:fill="FFFFFF"/>
        <w:spacing w:after="100" w:afterAutospacing="1" w:line="226" w:lineRule="exact"/>
        <w:ind w:left="5" w:right="5"/>
        <w:jc w:val="both"/>
        <w:rPr>
          <w:rFonts w:ascii="Tahoma" w:hAnsi="Tahoma" w:cs="Tahoma"/>
          <w:sz w:val="20"/>
          <w:szCs w:val="20"/>
        </w:rPr>
      </w:pPr>
      <w:r w:rsidRPr="00264FDC">
        <w:rPr>
          <w:rFonts w:ascii="Tahoma" w:hAnsi="Tahoma" w:cs="Tahoma"/>
          <w:sz w:val="20"/>
          <w:szCs w:val="20"/>
        </w:rPr>
        <w:t xml:space="preserve">Splatnost faktury se počítá až na výjimky od data doručení vyúčtování do OZP, k tomuto datu je vyúčtování zaevidováno a nastartován proces zpracování vyúčtování. Příslušná lhůta splatnosti </w:t>
      </w:r>
      <w:proofErr w:type="gramStart"/>
      <w:r w:rsidRPr="00264FDC">
        <w:rPr>
          <w:rFonts w:ascii="Tahoma" w:hAnsi="Tahoma" w:cs="Tahoma"/>
          <w:sz w:val="20"/>
          <w:szCs w:val="20"/>
        </w:rPr>
        <w:t>je</w:t>
      </w:r>
      <w:proofErr w:type="gramEnd"/>
      <w:r w:rsidRPr="00264FDC">
        <w:rPr>
          <w:rFonts w:ascii="Tahoma" w:hAnsi="Tahoma" w:cs="Tahoma"/>
          <w:sz w:val="20"/>
          <w:szCs w:val="20"/>
        </w:rPr>
        <w:t xml:space="preserve"> nastavována podle toho na jakém mediu vyúčtování bylo předloženo, nicméně lhůty pro jednotlivé segmenty jsou dohodnuty ve smlouvě.</w:t>
      </w:r>
    </w:p>
    <w:p w:rsidR="00264FDC" w:rsidRDefault="00264FDC" w:rsidP="00264FDC">
      <w:pPr>
        <w:rPr>
          <w:rFonts w:ascii="Tahoma" w:hAnsi="Tahoma" w:cs="Tahoma"/>
          <w:b/>
          <w:sz w:val="20"/>
          <w:szCs w:val="20"/>
        </w:rPr>
      </w:pPr>
      <w:r>
        <w:rPr>
          <w:rFonts w:ascii="Tahoma" w:hAnsi="Tahoma" w:cs="Tahoma"/>
          <w:b/>
          <w:sz w:val="20"/>
          <w:szCs w:val="20"/>
        </w:rPr>
        <w:t xml:space="preserve">Dotaz uchazeče </w:t>
      </w:r>
    </w:p>
    <w:p w:rsidR="00264FDC" w:rsidRPr="00264FDC" w:rsidRDefault="00264FDC" w:rsidP="00264FDC">
      <w:pPr>
        <w:shd w:val="clear" w:color="auto" w:fill="FFFFFF"/>
        <w:spacing w:after="100" w:afterAutospacing="1" w:line="226" w:lineRule="exact"/>
        <w:ind w:left="5" w:right="5"/>
        <w:jc w:val="both"/>
        <w:rPr>
          <w:rFonts w:ascii="Tahoma" w:hAnsi="Tahoma" w:cs="Tahoma"/>
          <w:sz w:val="20"/>
          <w:szCs w:val="20"/>
        </w:rPr>
      </w:pPr>
      <w:r w:rsidRPr="00264FDC">
        <w:rPr>
          <w:rFonts w:ascii="Tahoma" w:hAnsi="Tahoma" w:cs="Tahoma"/>
          <w:sz w:val="20"/>
          <w:szCs w:val="20"/>
        </w:rPr>
        <w:t>S jakým datem je zúčtována platba poskytovatelům zdravotních služeb předaná výdajovou částí CIS do účetnictví? Je tento datum vždy odvozen od data předání/přijetí dokladů, a pokud ano, tak jakým způsobem? Jedná se nám zejména o platby za péči poskytnutou lázněmi a rehabilitačními ústavy, ambulantní specialisty, praktickými lékaři a nemocnicemi a dále o refundace a přímé platby.</w:t>
      </w:r>
    </w:p>
    <w:p w:rsidR="00264FDC" w:rsidRPr="008B52B6" w:rsidRDefault="00264FDC" w:rsidP="00264FDC">
      <w:pPr>
        <w:jc w:val="both"/>
        <w:rPr>
          <w:rFonts w:ascii="Tahoma" w:hAnsi="Tahoma" w:cs="Tahoma"/>
          <w:b/>
          <w:sz w:val="20"/>
          <w:szCs w:val="20"/>
        </w:rPr>
      </w:pPr>
      <w:r>
        <w:rPr>
          <w:rFonts w:ascii="Tahoma" w:hAnsi="Tahoma" w:cs="Tahoma"/>
          <w:b/>
          <w:sz w:val="20"/>
          <w:szCs w:val="20"/>
        </w:rPr>
        <w:t>Odpověď zadavatele - Dodatečná informace č. 25</w:t>
      </w:r>
    </w:p>
    <w:p w:rsidR="00264FDC" w:rsidRPr="00264FDC" w:rsidRDefault="00264FDC" w:rsidP="00264FDC">
      <w:pPr>
        <w:shd w:val="clear" w:color="auto" w:fill="FFFFFF"/>
        <w:spacing w:after="100" w:afterAutospacing="1" w:line="226" w:lineRule="exact"/>
        <w:ind w:left="5" w:right="5"/>
        <w:jc w:val="both"/>
        <w:rPr>
          <w:rFonts w:ascii="Tahoma" w:hAnsi="Tahoma" w:cs="Tahoma"/>
          <w:sz w:val="20"/>
          <w:szCs w:val="20"/>
        </w:rPr>
      </w:pPr>
      <w:r w:rsidRPr="00264FDC">
        <w:rPr>
          <w:rFonts w:ascii="Tahoma" w:hAnsi="Tahoma" w:cs="Tahoma"/>
          <w:sz w:val="20"/>
          <w:szCs w:val="20"/>
        </w:rPr>
        <w:t>Platby resp. účetní předpisy závazků vůči poskytovatelům zdravotních služeb po provedené kontrole přechází přes rozhraní z výdajové části IZOP do účetního systému RIS s aktuálním datem. Jsou tedy zaúčtovány s datem přechodu z IZOP do RIS do otevřeného účetního období.</w:t>
      </w:r>
    </w:p>
    <w:p w:rsidR="00264FDC" w:rsidRDefault="00264FDC" w:rsidP="00F542AB">
      <w:pPr>
        <w:pStyle w:val="Default"/>
        <w:jc w:val="both"/>
        <w:rPr>
          <w:rFonts w:ascii="Tahoma" w:hAnsi="Tahoma" w:cs="Tahoma"/>
          <w:sz w:val="20"/>
          <w:szCs w:val="20"/>
        </w:rPr>
      </w:pPr>
    </w:p>
    <w:p w:rsidR="00264FDC" w:rsidRDefault="00264FDC" w:rsidP="00264FDC">
      <w:pPr>
        <w:pStyle w:val="Default"/>
        <w:jc w:val="both"/>
        <w:rPr>
          <w:rFonts w:ascii="Tahoma" w:hAnsi="Tahoma" w:cs="Tahoma"/>
          <w:sz w:val="20"/>
          <w:szCs w:val="20"/>
        </w:rPr>
      </w:pPr>
    </w:p>
    <w:p w:rsidR="00264FDC" w:rsidRDefault="00264FDC" w:rsidP="00264FDC">
      <w:pPr>
        <w:pStyle w:val="Default"/>
        <w:jc w:val="both"/>
        <w:rPr>
          <w:rFonts w:ascii="Tahoma" w:hAnsi="Tahoma" w:cs="Tahoma"/>
          <w:sz w:val="20"/>
          <w:szCs w:val="20"/>
        </w:rPr>
      </w:pPr>
    </w:p>
    <w:p w:rsidR="00264FDC" w:rsidRDefault="00264FDC" w:rsidP="00264FDC">
      <w:pPr>
        <w:rPr>
          <w:rFonts w:ascii="Tahoma" w:hAnsi="Tahoma" w:cs="Tahoma"/>
          <w:b/>
          <w:sz w:val="20"/>
          <w:szCs w:val="20"/>
        </w:rPr>
      </w:pPr>
      <w:r>
        <w:rPr>
          <w:rFonts w:ascii="Tahoma" w:hAnsi="Tahoma" w:cs="Tahoma"/>
          <w:b/>
          <w:sz w:val="20"/>
          <w:szCs w:val="20"/>
        </w:rPr>
        <w:lastRenderedPageBreak/>
        <w:t xml:space="preserve">Dotaz uchazeče </w:t>
      </w:r>
    </w:p>
    <w:p w:rsidR="00264FDC" w:rsidRPr="00264FDC" w:rsidRDefault="00264FDC" w:rsidP="00264FDC">
      <w:pPr>
        <w:shd w:val="clear" w:color="auto" w:fill="FFFFFF"/>
        <w:spacing w:after="100" w:afterAutospacing="1" w:line="226" w:lineRule="exact"/>
        <w:ind w:left="5" w:right="5"/>
        <w:jc w:val="both"/>
        <w:rPr>
          <w:rFonts w:ascii="Tahoma" w:hAnsi="Tahoma" w:cs="Tahoma"/>
          <w:sz w:val="20"/>
          <w:szCs w:val="20"/>
        </w:rPr>
      </w:pPr>
      <w:r w:rsidRPr="00264FDC">
        <w:rPr>
          <w:rFonts w:ascii="Tahoma" w:hAnsi="Tahoma" w:cs="Tahoma"/>
          <w:sz w:val="20"/>
          <w:szCs w:val="20"/>
        </w:rPr>
        <w:t>Je rozhraní „XIS", které nyní používá Zadavatel pro automatizované předávání záznamů do účetnictví, používáno jak příjmovou částí, tak výdajovou částí, nebo pouze jednou z nich a kterou?</w:t>
      </w:r>
    </w:p>
    <w:p w:rsidR="00264FDC" w:rsidRPr="008B52B6" w:rsidRDefault="00264FDC" w:rsidP="00264FDC">
      <w:pPr>
        <w:jc w:val="both"/>
        <w:rPr>
          <w:rFonts w:ascii="Tahoma" w:hAnsi="Tahoma" w:cs="Tahoma"/>
          <w:b/>
          <w:sz w:val="20"/>
          <w:szCs w:val="20"/>
        </w:rPr>
      </w:pPr>
      <w:r>
        <w:rPr>
          <w:rFonts w:ascii="Tahoma" w:hAnsi="Tahoma" w:cs="Tahoma"/>
          <w:b/>
          <w:sz w:val="20"/>
          <w:szCs w:val="20"/>
        </w:rPr>
        <w:t>Odpověď zadavatele - Dodatečná informace č. 26</w:t>
      </w:r>
    </w:p>
    <w:p w:rsidR="00264FDC" w:rsidRPr="00264FDC" w:rsidRDefault="00264FDC" w:rsidP="00264FDC">
      <w:pPr>
        <w:shd w:val="clear" w:color="auto" w:fill="FFFFFF"/>
        <w:spacing w:after="100" w:afterAutospacing="1" w:line="226" w:lineRule="exact"/>
        <w:ind w:left="5" w:right="5"/>
        <w:jc w:val="both"/>
        <w:rPr>
          <w:rFonts w:ascii="Tahoma" w:hAnsi="Tahoma" w:cs="Tahoma"/>
          <w:sz w:val="20"/>
          <w:szCs w:val="20"/>
        </w:rPr>
      </w:pPr>
      <w:r w:rsidRPr="00264FDC">
        <w:rPr>
          <w:rFonts w:ascii="Tahoma" w:hAnsi="Tahoma" w:cs="Tahoma"/>
          <w:sz w:val="20"/>
          <w:szCs w:val="20"/>
        </w:rPr>
        <w:t>XIS slouží pouze pro příjmovou oblast.</w:t>
      </w:r>
    </w:p>
    <w:p w:rsidR="00264FDC" w:rsidRDefault="00264FDC" w:rsidP="00F542AB">
      <w:pPr>
        <w:pStyle w:val="Default"/>
        <w:jc w:val="both"/>
        <w:rPr>
          <w:rFonts w:ascii="Tahoma" w:hAnsi="Tahoma" w:cs="Tahoma"/>
          <w:sz w:val="20"/>
          <w:szCs w:val="20"/>
        </w:rPr>
      </w:pPr>
    </w:p>
    <w:p w:rsidR="00A601AE" w:rsidRPr="00796A54" w:rsidRDefault="005E230E" w:rsidP="00F542AB">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F542AB">
      <w:pPr>
        <w:jc w:val="both"/>
        <w:rPr>
          <w:rFonts w:ascii="Tahoma" w:hAnsi="Tahoma" w:cs="Tahoma"/>
          <w:sz w:val="20"/>
          <w:szCs w:val="20"/>
        </w:rPr>
      </w:pPr>
    </w:p>
    <w:p w:rsidR="00AA3345" w:rsidRDefault="00AA3345" w:rsidP="00F542AB">
      <w:pPr>
        <w:jc w:val="both"/>
        <w:rPr>
          <w:rFonts w:ascii="Tahoma" w:hAnsi="Tahoma" w:cs="Tahoma"/>
          <w:sz w:val="20"/>
          <w:szCs w:val="20"/>
        </w:rPr>
      </w:pPr>
      <w:r>
        <w:rPr>
          <w:rFonts w:ascii="Tahoma" w:hAnsi="Tahoma" w:cs="Tahoma"/>
          <w:sz w:val="20"/>
          <w:szCs w:val="20"/>
        </w:rPr>
        <w:t>Mgr. Gabriela Hinková</w:t>
      </w:r>
    </w:p>
    <w:p w:rsidR="00AA3345" w:rsidRDefault="00AA3345" w:rsidP="00F542AB">
      <w:pPr>
        <w:jc w:val="both"/>
        <w:rPr>
          <w:rFonts w:ascii="Tahoma" w:hAnsi="Tahoma" w:cs="Tahoma"/>
          <w:sz w:val="20"/>
          <w:szCs w:val="20"/>
        </w:rPr>
      </w:pPr>
      <w:proofErr w:type="gramStart"/>
      <w:r>
        <w:rPr>
          <w:rFonts w:ascii="Tahoma" w:hAnsi="Tahoma" w:cs="Tahoma"/>
          <w:sz w:val="20"/>
          <w:szCs w:val="20"/>
        </w:rPr>
        <w:t>v.z.</w:t>
      </w:r>
      <w:proofErr w:type="gramEnd"/>
    </w:p>
    <w:p w:rsidR="00DB4EF0" w:rsidRPr="00796A54" w:rsidRDefault="00DB4EF0" w:rsidP="00F542AB">
      <w:pPr>
        <w:jc w:val="both"/>
        <w:rPr>
          <w:rFonts w:ascii="Tahoma" w:hAnsi="Tahoma" w:cs="Tahoma"/>
          <w:sz w:val="20"/>
          <w:szCs w:val="20"/>
        </w:rPr>
      </w:pPr>
      <w:r w:rsidRPr="00796A54">
        <w:rPr>
          <w:rFonts w:ascii="Tahoma" w:hAnsi="Tahoma" w:cs="Tahoma"/>
          <w:sz w:val="20"/>
          <w:szCs w:val="20"/>
        </w:rPr>
        <w:t>JUDr. Jaroslav</w:t>
      </w:r>
      <w:r w:rsidR="00AA3345">
        <w:rPr>
          <w:rFonts w:ascii="Tahoma" w:hAnsi="Tahoma" w:cs="Tahoma"/>
          <w:sz w:val="20"/>
          <w:szCs w:val="20"/>
        </w:rPr>
        <w:t>a</w:t>
      </w:r>
      <w:r w:rsidRPr="00796A54">
        <w:rPr>
          <w:rFonts w:ascii="Tahoma" w:hAnsi="Tahoma" w:cs="Tahoma"/>
          <w:sz w:val="20"/>
          <w:szCs w:val="20"/>
        </w:rPr>
        <w:t xml:space="preserve"> Bursík</w:t>
      </w:r>
      <w:r w:rsidR="00AA3345">
        <w:rPr>
          <w:rFonts w:ascii="Tahoma" w:hAnsi="Tahoma" w:cs="Tahoma"/>
          <w:sz w:val="20"/>
          <w:szCs w:val="20"/>
        </w:rPr>
        <w:t>a</w:t>
      </w:r>
      <w:r w:rsidRPr="00796A54">
        <w:rPr>
          <w:rFonts w:ascii="Tahoma" w:hAnsi="Tahoma" w:cs="Tahoma"/>
          <w:sz w:val="20"/>
          <w:szCs w:val="20"/>
        </w:rPr>
        <w:t>, advokát</w:t>
      </w:r>
      <w:r w:rsidR="00AA3345">
        <w:rPr>
          <w:rFonts w:ascii="Tahoma" w:hAnsi="Tahoma" w:cs="Tahoma"/>
          <w:sz w:val="20"/>
          <w:szCs w:val="20"/>
        </w:rPr>
        <w:t>a</w:t>
      </w:r>
    </w:p>
    <w:p w:rsidR="000F2E13" w:rsidRDefault="00DB4EF0" w:rsidP="00F542AB">
      <w:pPr>
        <w:jc w:val="both"/>
        <w:rPr>
          <w:rFonts w:ascii="Tahoma" w:hAnsi="Tahoma" w:cs="Tahoma"/>
          <w:sz w:val="20"/>
          <w:szCs w:val="20"/>
        </w:rPr>
      </w:pPr>
      <w:proofErr w:type="gramStart"/>
      <w:r w:rsidRPr="00796A54">
        <w:rPr>
          <w:rFonts w:ascii="Tahoma" w:hAnsi="Tahoma" w:cs="Tahoma"/>
          <w:sz w:val="20"/>
          <w:szCs w:val="20"/>
        </w:rPr>
        <w:t>v.z. zadavatele</w:t>
      </w:r>
      <w:proofErr w:type="gramEnd"/>
    </w:p>
    <w:p w:rsidR="00A068DE" w:rsidRDefault="00A068DE" w:rsidP="00F542AB">
      <w:pPr>
        <w:jc w:val="both"/>
        <w:rPr>
          <w:rFonts w:ascii="Tahoma" w:hAnsi="Tahoma" w:cs="Tahoma"/>
          <w:sz w:val="20"/>
          <w:szCs w:val="20"/>
        </w:rPr>
      </w:pPr>
    </w:p>
    <w:p w:rsidR="00A068DE" w:rsidRDefault="00A068DE" w:rsidP="00F542AB">
      <w:pPr>
        <w:jc w:val="both"/>
        <w:rPr>
          <w:rFonts w:ascii="Tahoma" w:hAnsi="Tahoma" w:cs="Tahoma"/>
          <w:sz w:val="20"/>
          <w:szCs w:val="20"/>
        </w:rPr>
      </w:pPr>
    </w:p>
    <w:p w:rsidR="00A068DE" w:rsidRPr="00796A54" w:rsidRDefault="00A068DE" w:rsidP="00F542AB">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359" w:rsidRDefault="008F0359">
      <w:r>
        <w:separator/>
      </w:r>
    </w:p>
  </w:endnote>
  <w:endnote w:type="continuationSeparator" w:id="0">
    <w:p w:rsidR="008F0359" w:rsidRDefault="008F03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B67EBA" w:rsidP="005F5771">
    <w:pPr>
      <w:pStyle w:val="Zpat"/>
      <w:framePr w:wrap="around" w:vAnchor="text" w:hAnchor="margin" w:xAlign="right" w:y="1"/>
      <w:rPr>
        <w:rStyle w:val="slostrnky"/>
      </w:rPr>
    </w:pPr>
    <w:r>
      <w:rPr>
        <w:rStyle w:val="slostrnky"/>
      </w:rPr>
      <w:fldChar w:fldCharType="begin"/>
    </w:r>
    <w:r w:rsidR="00D77CF3">
      <w:rPr>
        <w:rStyle w:val="slostrnky"/>
      </w:rPr>
      <w:instrText xml:space="preserve">PAGE  </w:instrText>
    </w:r>
    <w:r>
      <w:rPr>
        <w:rStyle w:val="slostrnky"/>
      </w:rPr>
      <w:fldChar w:fldCharType="end"/>
    </w:r>
  </w:p>
  <w:p w:rsidR="00D77CF3" w:rsidRDefault="00D77CF3"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5F5771" w:rsidRDefault="00D77CF3" w:rsidP="005F5771">
    <w:pPr>
      <w:pStyle w:val="Zpat"/>
      <w:framePr w:wrap="around" w:vAnchor="text" w:hAnchor="margin" w:xAlign="right" w:y="1"/>
      <w:rPr>
        <w:rStyle w:val="slostrnky"/>
        <w:rFonts w:ascii="Arial" w:hAnsi="Arial" w:cs="Arial"/>
        <w:color w:val="000080"/>
        <w:sz w:val="15"/>
        <w:szCs w:val="15"/>
      </w:rPr>
    </w:pPr>
  </w:p>
  <w:p w:rsidR="00D77CF3" w:rsidRDefault="00D77CF3"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D77CF3"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359" w:rsidRDefault="008F0359">
      <w:r>
        <w:separator/>
      </w:r>
    </w:p>
  </w:footnote>
  <w:footnote w:type="continuationSeparator" w:id="0">
    <w:p w:rsidR="008F0359" w:rsidRDefault="008F03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964EC3" w:rsidRDefault="00D77CF3"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D77CF3" w:rsidRPr="00F54A53">
      <w:tc>
        <w:tcPr>
          <w:tcW w:w="1321" w:type="dxa"/>
          <w:vAlign w:val="bottom"/>
        </w:tcPr>
        <w:p w:rsidR="00D77CF3" w:rsidRPr="00F72071" w:rsidRDefault="00D77CF3"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D77CF3" w:rsidRPr="00F54A53" w:rsidRDefault="00D77CF3"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D77CF3" w:rsidRPr="00F54A53" w:rsidRDefault="00D77CF3"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D77CF3" w:rsidRPr="00F54A53" w:rsidRDefault="00D77CF3" w:rsidP="00400CF5">
          <w:pPr>
            <w:pStyle w:val="Zhlav"/>
            <w:rPr>
              <w:rFonts w:ascii="Arial" w:hAnsi="Arial" w:cs="Arial"/>
              <w:color w:val="000080"/>
            </w:rPr>
          </w:pPr>
        </w:p>
      </w:tc>
      <w:tc>
        <w:tcPr>
          <w:tcW w:w="2552" w:type="dxa"/>
          <w:tcBorders>
            <w:bottom w:val="single" w:sz="2" w:space="0" w:color="000080"/>
          </w:tcBorders>
          <w:vAlign w:val="bottom"/>
        </w:tcPr>
        <w:p w:rsidR="00D77CF3" w:rsidRPr="00F54A53" w:rsidRDefault="00D77CF3"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D77CF3" w:rsidRPr="0013192A" w:rsidRDefault="00D77CF3"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D77CF3" w:rsidRPr="00F54A53" w:rsidRDefault="00D77CF3"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D77CF3" w:rsidRPr="00145FC5" w:rsidRDefault="00D77CF3"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5F82CFE"/>
    <w:multiLevelType w:val="hybridMultilevel"/>
    <w:tmpl w:val="4172185C"/>
    <w:lvl w:ilvl="0" w:tplc="F3AEE7B4">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8">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79E229DA"/>
    <w:multiLevelType w:val="hybridMultilevel"/>
    <w:tmpl w:val="C382E342"/>
    <w:lvl w:ilvl="0" w:tplc="EB20C87E">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5"/>
  </w:num>
  <w:num w:numId="2">
    <w:abstractNumId w:val="23"/>
  </w:num>
  <w:num w:numId="3">
    <w:abstractNumId w:val="21"/>
  </w:num>
  <w:num w:numId="4">
    <w:abstractNumId w:val="19"/>
  </w:num>
  <w:num w:numId="5">
    <w:abstractNumId w:val="12"/>
  </w:num>
  <w:num w:numId="6">
    <w:abstractNumId w:val="27"/>
  </w:num>
  <w:num w:numId="7">
    <w:abstractNumId w:val="11"/>
  </w:num>
  <w:num w:numId="8">
    <w:abstractNumId w:val="18"/>
  </w:num>
  <w:num w:numId="9">
    <w:abstractNumId w:val="14"/>
  </w:num>
  <w:num w:numId="10">
    <w:abstractNumId w:val="22"/>
  </w:num>
  <w:num w:numId="11">
    <w:abstractNumId w:val="26"/>
  </w:num>
  <w:num w:numId="12">
    <w:abstractNumId w:val="6"/>
  </w:num>
  <w:num w:numId="13">
    <w:abstractNumId w:val="5"/>
  </w:num>
  <w:num w:numId="14">
    <w:abstractNumId w:val="8"/>
  </w:num>
  <w:num w:numId="15">
    <w:abstractNumId w:val="7"/>
  </w:num>
  <w:num w:numId="16">
    <w:abstractNumId w:val="29"/>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20"/>
  </w:num>
  <w:num w:numId="29">
    <w:abstractNumId w:val="17"/>
  </w:num>
  <w:num w:numId="30">
    <w:abstractNumId w:val="9"/>
  </w:num>
  <w:num w:numId="31">
    <w:abstractNumId w:val="24"/>
  </w:num>
  <w:num w:numId="32">
    <w:abstractNumId w:val="28"/>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74A51"/>
    <w:rsid w:val="00080C82"/>
    <w:rsid w:val="00082B68"/>
    <w:rsid w:val="000918B3"/>
    <w:rsid w:val="000920DB"/>
    <w:rsid w:val="00093812"/>
    <w:rsid w:val="000963E3"/>
    <w:rsid w:val="000A41F5"/>
    <w:rsid w:val="000A6206"/>
    <w:rsid w:val="000C0D51"/>
    <w:rsid w:val="000D498F"/>
    <w:rsid w:val="000D4F7C"/>
    <w:rsid w:val="000E1A84"/>
    <w:rsid w:val="000E2B67"/>
    <w:rsid w:val="000F2E13"/>
    <w:rsid w:val="001104B1"/>
    <w:rsid w:val="00131040"/>
    <w:rsid w:val="0013192A"/>
    <w:rsid w:val="00136B6B"/>
    <w:rsid w:val="0014223D"/>
    <w:rsid w:val="00145FC5"/>
    <w:rsid w:val="00147E2A"/>
    <w:rsid w:val="00157A1C"/>
    <w:rsid w:val="001621EF"/>
    <w:rsid w:val="00162728"/>
    <w:rsid w:val="00173D71"/>
    <w:rsid w:val="00173E1C"/>
    <w:rsid w:val="00182B50"/>
    <w:rsid w:val="00186FF5"/>
    <w:rsid w:val="00190FD4"/>
    <w:rsid w:val="00192757"/>
    <w:rsid w:val="00194DD0"/>
    <w:rsid w:val="0019507F"/>
    <w:rsid w:val="00196210"/>
    <w:rsid w:val="00197278"/>
    <w:rsid w:val="001A021E"/>
    <w:rsid w:val="001B0E58"/>
    <w:rsid w:val="001B2E61"/>
    <w:rsid w:val="001C2184"/>
    <w:rsid w:val="001C3DD1"/>
    <w:rsid w:val="001D06C5"/>
    <w:rsid w:val="001D36F7"/>
    <w:rsid w:val="001D5934"/>
    <w:rsid w:val="001D63EF"/>
    <w:rsid w:val="001D6BCB"/>
    <w:rsid w:val="001E2C67"/>
    <w:rsid w:val="001F0E54"/>
    <w:rsid w:val="001F6EDB"/>
    <w:rsid w:val="001F766F"/>
    <w:rsid w:val="0020405E"/>
    <w:rsid w:val="002041E5"/>
    <w:rsid w:val="00205914"/>
    <w:rsid w:val="00206E53"/>
    <w:rsid w:val="00213DF1"/>
    <w:rsid w:val="00216EC6"/>
    <w:rsid w:val="00216FC7"/>
    <w:rsid w:val="0022289D"/>
    <w:rsid w:val="00223E4F"/>
    <w:rsid w:val="00223F1B"/>
    <w:rsid w:val="00227096"/>
    <w:rsid w:val="00235622"/>
    <w:rsid w:val="00250EC1"/>
    <w:rsid w:val="0025148E"/>
    <w:rsid w:val="00251D5F"/>
    <w:rsid w:val="0025279A"/>
    <w:rsid w:val="0025640A"/>
    <w:rsid w:val="00257265"/>
    <w:rsid w:val="002576DF"/>
    <w:rsid w:val="002633FB"/>
    <w:rsid w:val="002639B3"/>
    <w:rsid w:val="00264FDC"/>
    <w:rsid w:val="00270FD4"/>
    <w:rsid w:val="002718F8"/>
    <w:rsid w:val="00281323"/>
    <w:rsid w:val="00282D42"/>
    <w:rsid w:val="0029055B"/>
    <w:rsid w:val="002924D1"/>
    <w:rsid w:val="00296DB6"/>
    <w:rsid w:val="002A2C67"/>
    <w:rsid w:val="002A4F7C"/>
    <w:rsid w:val="002B1C89"/>
    <w:rsid w:val="002B36BC"/>
    <w:rsid w:val="002B374C"/>
    <w:rsid w:val="002B740D"/>
    <w:rsid w:val="002D3789"/>
    <w:rsid w:val="002D4088"/>
    <w:rsid w:val="002D764C"/>
    <w:rsid w:val="002E0EFE"/>
    <w:rsid w:val="002E451E"/>
    <w:rsid w:val="002E7646"/>
    <w:rsid w:val="003038D7"/>
    <w:rsid w:val="00304C3E"/>
    <w:rsid w:val="00311BDB"/>
    <w:rsid w:val="003133CB"/>
    <w:rsid w:val="00331CA6"/>
    <w:rsid w:val="00332407"/>
    <w:rsid w:val="00336D91"/>
    <w:rsid w:val="003448B0"/>
    <w:rsid w:val="0035124B"/>
    <w:rsid w:val="00351560"/>
    <w:rsid w:val="00352148"/>
    <w:rsid w:val="003626FC"/>
    <w:rsid w:val="0037613D"/>
    <w:rsid w:val="00382DC5"/>
    <w:rsid w:val="00383A47"/>
    <w:rsid w:val="003869EB"/>
    <w:rsid w:val="003A035F"/>
    <w:rsid w:val="003A2544"/>
    <w:rsid w:val="003A7737"/>
    <w:rsid w:val="003B08CE"/>
    <w:rsid w:val="003B6FEA"/>
    <w:rsid w:val="003D595B"/>
    <w:rsid w:val="003D72D6"/>
    <w:rsid w:val="003E2914"/>
    <w:rsid w:val="003E2ACD"/>
    <w:rsid w:val="003E4ED7"/>
    <w:rsid w:val="003F04A7"/>
    <w:rsid w:val="0040063F"/>
    <w:rsid w:val="00400CF5"/>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52F"/>
    <w:rsid w:val="00481A89"/>
    <w:rsid w:val="004915A7"/>
    <w:rsid w:val="004A2A7F"/>
    <w:rsid w:val="004B17A7"/>
    <w:rsid w:val="004B3917"/>
    <w:rsid w:val="004B4435"/>
    <w:rsid w:val="004B66AA"/>
    <w:rsid w:val="004C1F54"/>
    <w:rsid w:val="004C50B8"/>
    <w:rsid w:val="004C6EF2"/>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17D7"/>
    <w:rsid w:val="00522314"/>
    <w:rsid w:val="00534A11"/>
    <w:rsid w:val="00535178"/>
    <w:rsid w:val="0053590C"/>
    <w:rsid w:val="00544F04"/>
    <w:rsid w:val="00545390"/>
    <w:rsid w:val="00546667"/>
    <w:rsid w:val="00550794"/>
    <w:rsid w:val="00550ED2"/>
    <w:rsid w:val="00560B1C"/>
    <w:rsid w:val="005622DA"/>
    <w:rsid w:val="00573CC1"/>
    <w:rsid w:val="00576769"/>
    <w:rsid w:val="00581B2B"/>
    <w:rsid w:val="00583052"/>
    <w:rsid w:val="00584B69"/>
    <w:rsid w:val="00585F45"/>
    <w:rsid w:val="00586D9D"/>
    <w:rsid w:val="0058728C"/>
    <w:rsid w:val="00590972"/>
    <w:rsid w:val="00591AA7"/>
    <w:rsid w:val="00594564"/>
    <w:rsid w:val="00595AD5"/>
    <w:rsid w:val="005A6BA8"/>
    <w:rsid w:val="005B1669"/>
    <w:rsid w:val="005B25A8"/>
    <w:rsid w:val="005B7540"/>
    <w:rsid w:val="005C189D"/>
    <w:rsid w:val="005D77F9"/>
    <w:rsid w:val="005E230E"/>
    <w:rsid w:val="005E2399"/>
    <w:rsid w:val="005F480E"/>
    <w:rsid w:val="005F5771"/>
    <w:rsid w:val="00603F6F"/>
    <w:rsid w:val="00605332"/>
    <w:rsid w:val="00611937"/>
    <w:rsid w:val="00615474"/>
    <w:rsid w:val="00626E99"/>
    <w:rsid w:val="006322B5"/>
    <w:rsid w:val="00655C7F"/>
    <w:rsid w:val="006579AE"/>
    <w:rsid w:val="006606EE"/>
    <w:rsid w:val="00687E2D"/>
    <w:rsid w:val="00690A2C"/>
    <w:rsid w:val="00690D32"/>
    <w:rsid w:val="00693548"/>
    <w:rsid w:val="00697B71"/>
    <w:rsid w:val="006A72D7"/>
    <w:rsid w:val="006B7EEC"/>
    <w:rsid w:val="006D5239"/>
    <w:rsid w:val="006D7AC7"/>
    <w:rsid w:val="006D7F95"/>
    <w:rsid w:val="006E0905"/>
    <w:rsid w:val="006E5C9E"/>
    <w:rsid w:val="006F20D7"/>
    <w:rsid w:val="006F276B"/>
    <w:rsid w:val="006F3BF6"/>
    <w:rsid w:val="006F4D28"/>
    <w:rsid w:val="006F5B32"/>
    <w:rsid w:val="00706406"/>
    <w:rsid w:val="00706C4B"/>
    <w:rsid w:val="007071E8"/>
    <w:rsid w:val="00711C88"/>
    <w:rsid w:val="0071361A"/>
    <w:rsid w:val="007157BA"/>
    <w:rsid w:val="007222AC"/>
    <w:rsid w:val="0072745A"/>
    <w:rsid w:val="0073175D"/>
    <w:rsid w:val="0073391D"/>
    <w:rsid w:val="00741971"/>
    <w:rsid w:val="007452E9"/>
    <w:rsid w:val="00751336"/>
    <w:rsid w:val="00751385"/>
    <w:rsid w:val="00754A3B"/>
    <w:rsid w:val="00757456"/>
    <w:rsid w:val="007661CD"/>
    <w:rsid w:val="00773879"/>
    <w:rsid w:val="007804D1"/>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A0C"/>
    <w:rsid w:val="00825BA7"/>
    <w:rsid w:val="00826BF6"/>
    <w:rsid w:val="0083049A"/>
    <w:rsid w:val="00833A2A"/>
    <w:rsid w:val="00834C82"/>
    <w:rsid w:val="00846EF9"/>
    <w:rsid w:val="0085098C"/>
    <w:rsid w:val="00854628"/>
    <w:rsid w:val="00854C2E"/>
    <w:rsid w:val="0085554A"/>
    <w:rsid w:val="00855566"/>
    <w:rsid w:val="00855F3E"/>
    <w:rsid w:val="00861D47"/>
    <w:rsid w:val="00861F1C"/>
    <w:rsid w:val="00866DAD"/>
    <w:rsid w:val="00881879"/>
    <w:rsid w:val="00894D51"/>
    <w:rsid w:val="008A3E5C"/>
    <w:rsid w:val="008B1858"/>
    <w:rsid w:val="008B35A5"/>
    <w:rsid w:val="008B3E1D"/>
    <w:rsid w:val="008B52B6"/>
    <w:rsid w:val="008C7B48"/>
    <w:rsid w:val="008D5ABB"/>
    <w:rsid w:val="008E1B80"/>
    <w:rsid w:val="008E5AE6"/>
    <w:rsid w:val="008E7E45"/>
    <w:rsid w:val="008F0359"/>
    <w:rsid w:val="008F7BA5"/>
    <w:rsid w:val="008F7E55"/>
    <w:rsid w:val="00904A77"/>
    <w:rsid w:val="009051A4"/>
    <w:rsid w:val="00943532"/>
    <w:rsid w:val="009453AA"/>
    <w:rsid w:val="009614EE"/>
    <w:rsid w:val="00962911"/>
    <w:rsid w:val="00964975"/>
    <w:rsid w:val="00964EC3"/>
    <w:rsid w:val="00973F23"/>
    <w:rsid w:val="00985F4E"/>
    <w:rsid w:val="00997AFB"/>
    <w:rsid w:val="009A035D"/>
    <w:rsid w:val="009A4E59"/>
    <w:rsid w:val="009A5B1C"/>
    <w:rsid w:val="009B1463"/>
    <w:rsid w:val="009B60D6"/>
    <w:rsid w:val="009B768A"/>
    <w:rsid w:val="009C49A4"/>
    <w:rsid w:val="009D254B"/>
    <w:rsid w:val="009D7377"/>
    <w:rsid w:val="009F06EE"/>
    <w:rsid w:val="009F5F6A"/>
    <w:rsid w:val="00A00623"/>
    <w:rsid w:val="00A04D0F"/>
    <w:rsid w:val="00A04DA2"/>
    <w:rsid w:val="00A068DE"/>
    <w:rsid w:val="00A11035"/>
    <w:rsid w:val="00A244D6"/>
    <w:rsid w:val="00A30045"/>
    <w:rsid w:val="00A403E1"/>
    <w:rsid w:val="00A42A61"/>
    <w:rsid w:val="00A44035"/>
    <w:rsid w:val="00A5066F"/>
    <w:rsid w:val="00A506B2"/>
    <w:rsid w:val="00A5558B"/>
    <w:rsid w:val="00A601AE"/>
    <w:rsid w:val="00A616D5"/>
    <w:rsid w:val="00A65D6B"/>
    <w:rsid w:val="00A65D8C"/>
    <w:rsid w:val="00A71482"/>
    <w:rsid w:val="00A7179A"/>
    <w:rsid w:val="00A81236"/>
    <w:rsid w:val="00A82F88"/>
    <w:rsid w:val="00A8714F"/>
    <w:rsid w:val="00AA1A88"/>
    <w:rsid w:val="00AA2F74"/>
    <w:rsid w:val="00AA3345"/>
    <w:rsid w:val="00AB0F8B"/>
    <w:rsid w:val="00AB5354"/>
    <w:rsid w:val="00AC11CD"/>
    <w:rsid w:val="00AC3F0C"/>
    <w:rsid w:val="00AC539D"/>
    <w:rsid w:val="00AD00B2"/>
    <w:rsid w:val="00AD053C"/>
    <w:rsid w:val="00AD1DDA"/>
    <w:rsid w:val="00AD2646"/>
    <w:rsid w:val="00AE19EF"/>
    <w:rsid w:val="00AE2D5F"/>
    <w:rsid w:val="00AE786B"/>
    <w:rsid w:val="00AF1913"/>
    <w:rsid w:val="00AF26C7"/>
    <w:rsid w:val="00AF2CCD"/>
    <w:rsid w:val="00B01C6E"/>
    <w:rsid w:val="00B0358D"/>
    <w:rsid w:val="00B0504B"/>
    <w:rsid w:val="00B11630"/>
    <w:rsid w:val="00B2255D"/>
    <w:rsid w:val="00B22696"/>
    <w:rsid w:val="00B26072"/>
    <w:rsid w:val="00B268BC"/>
    <w:rsid w:val="00B3326B"/>
    <w:rsid w:val="00B3392A"/>
    <w:rsid w:val="00B36FFC"/>
    <w:rsid w:val="00B435D3"/>
    <w:rsid w:val="00B47945"/>
    <w:rsid w:val="00B513BE"/>
    <w:rsid w:val="00B55FF6"/>
    <w:rsid w:val="00B5602D"/>
    <w:rsid w:val="00B67EBA"/>
    <w:rsid w:val="00B7090C"/>
    <w:rsid w:val="00B733D9"/>
    <w:rsid w:val="00B770A3"/>
    <w:rsid w:val="00B85126"/>
    <w:rsid w:val="00B87AAA"/>
    <w:rsid w:val="00BA0934"/>
    <w:rsid w:val="00BA1035"/>
    <w:rsid w:val="00BA58FF"/>
    <w:rsid w:val="00BB0C98"/>
    <w:rsid w:val="00BB39B1"/>
    <w:rsid w:val="00BB558D"/>
    <w:rsid w:val="00BC62DE"/>
    <w:rsid w:val="00BD2D80"/>
    <w:rsid w:val="00BD3C6E"/>
    <w:rsid w:val="00BE4F10"/>
    <w:rsid w:val="00BF1788"/>
    <w:rsid w:val="00BF35C7"/>
    <w:rsid w:val="00BF5108"/>
    <w:rsid w:val="00C07B56"/>
    <w:rsid w:val="00C16417"/>
    <w:rsid w:val="00C17FCE"/>
    <w:rsid w:val="00C3548C"/>
    <w:rsid w:val="00C35CEF"/>
    <w:rsid w:val="00C36269"/>
    <w:rsid w:val="00C5272A"/>
    <w:rsid w:val="00C5397B"/>
    <w:rsid w:val="00C64657"/>
    <w:rsid w:val="00C709C5"/>
    <w:rsid w:val="00C72109"/>
    <w:rsid w:val="00C72987"/>
    <w:rsid w:val="00C73102"/>
    <w:rsid w:val="00C81D95"/>
    <w:rsid w:val="00C83867"/>
    <w:rsid w:val="00C844BA"/>
    <w:rsid w:val="00C84763"/>
    <w:rsid w:val="00C8794F"/>
    <w:rsid w:val="00C87F02"/>
    <w:rsid w:val="00C96A1F"/>
    <w:rsid w:val="00CA313A"/>
    <w:rsid w:val="00CD1AA4"/>
    <w:rsid w:val="00CD30BB"/>
    <w:rsid w:val="00CE6539"/>
    <w:rsid w:val="00CF04A9"/>
    <w:rsid w:val="00CF3749"/>
    <w:rsid w:val="00CF7376"/>
    <w:rsid w:val="00CF7983"/>
    <w:rsid w:val="00D01B7E"/>
    <w:rsid w:val="00D065CC"/>
    <w:rsid w:val="00D149B7"/>
    <w:rsid w:val="00D17063"/>
    <w:rsid w:val="00D25E08"/>
    <w:rsid w:val="00D27636"/>
    <w:rsid w:val="00D3561D"/>
    <w:rsid w:val="00D41445"/>
    <w:rsid w:val="00D42547"/>
    <w:rsid w:val="00D457BC"/>
    <w:rsid w:val="00D546E6"/>
    <w:rsid w:val="00D7099A"/>
    <w:rsid w:val="00D76B9E"/>
    <w:rsid w:val="00D77CF3"/>
    <w:rsid w:val="00D87238"/>
    <w:rsid w:val="00D92D13"/>
    <w:rsid w:val="00D95B43"/>
    <w:rsid w:val="00D968A2"/>
    <w:rsid w:val="00DA00C1"/>
    <w:rsid w:val="00DA30CD"/>
    <w:rsid w:val="00DB08D2"/>
    <w:rsid w:val="00DB350A"/>
    <w:rsid w:val="00DB4EF0"/>
    <w:rsid w:val="00DD2339"/>
    <w:rsid w:val="00DD2BA5"/>
    <w:rsid w:val="00DD43DB"/>
    <w:rsid w:val="00DF3F6F"/>
    <w:rsid w:val="00DF675E"/>
    <w:rsid w:val="00E01586"/>
    <w:rsid w:val="00E06E4A"/>
    <w:rsid w:val="00E1200F"/>
    <w:rsid w:val="00E1445E"/>
    <w:rsid w:val="00E1576B"/>
    <w:rsid w:val="00E15E7D"/>
    <w:rsid w:val="00E16804"/>
    <w:rsid w:val="00E20572"/>
    <w:rsid w:val="00E30C2F"/>
    <w:rsid w:val="00E315F0"/>
    <w:rsid w:val="00E31B4A"/>
    <w:rsid w:val="00E32E2B"/>
    <w:rsid w:val="00E34B16"/>
    <w:rsid w:val="00E35A04"/>
    <w:rsid w:val="00E4365A"/>
    <w:rsid w:val="00E43BDD"/>
    <w:rsid w:val="00E4594B"/>
    <w:rsid w:val="00E55358"/>
    <w:rsid w:val="00E57BF7"/>
    <w:rsid w:val="00E71356"/>
    <w:rsid w:val="00E766E9"/>
    <w:rsid w:val="00E82C3C"/>
    <w:rsid w:val="00EA0D97"/>
    <w:rsid w:val="00EB42B3"/>
    <w:rsid w:val="00EB4930"/>
    <w:rsid w:val="00EB7204"/>
    <w:rsid w:val="00EB7877"/>
    <w:rsid w:val="00EB7DBA"/>
    <w:rsid w:val="00EC52B4"/>
    <w:rsid w:val="00EC5635"/>
    <w:rsid w:val="00ED1297"/>
    <w:rsid w:val="00ED3CA8"/>
    <w:rsid w:val="00EE260B"/>
    <w:rsid w:val="00EE2720"/>
    <w:rsid w:val="00EE3A3D"/>
    <w:rsid w:val="00EE61B4"/>
    <w:rsid w:val="00EF00DF"/>
    <w:rsid w:val="00EF1686"/>
    <w:rsid w:val="00F01117"/>
    <w:rsid w:val="00F0323F"/>
    <w:rsid w:val="00F064D7"/>
    <w:rsid w:val="00F152E7"/>
    <w:rsid w:val="00F1720E"/>
    <w:rsid w:val="00F342A2"/>
    <w:rsid w:val="00F43EF7"/>
    <w:rsid w:val="00F449DA"/>
    <w:rsid w:val="00F51F89"/>
    <w:rsid w:val="00F523B7"/>
    <w:rsid w:val="00F542AB"/>
    <w:rsid w:val="00F57CF8"/>
    <w:rsid w:val="00F6111E"/>
    <w:rsid w:val="00F67F89"/>
    <w:rsid w:val="00F72071"/>
    <w:rsid w:val="00F72772"/>
    <w:rsid w:val="00F83776"/>
    <w:rsid w:val="00F86976"/>
    <w:rsid w:val="00F94925"/>
    <w:rsid w:val="00FA29B0"/>
    <w:rsid w:val="00FB37D4"/>
    <w:rsid w:val="00FB4E84"/>
    <w:rsid w:val="00FB706F"/>
    <w:rsid w:val="00FC6473"/>
    <w:rsid w:val="00FD4A50"/>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rFonts w:eastAsia="Arial Unicode MS" w:cs="Arial Unicode MS"/>
      <w:b/>
      <w:bCs/>
      <w:kern w:val="1"/>
      <w:lang w:eastAsia="hi-IN" w:bidi="hi-IN"/>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49294">
      <w:bodyDiv w:val="1"/>
      <w:marLeft w:val="0"/>
      <w:marRight w:val="0"/>
      <w:marTop w:val="0"/>
      <w:marBottom w:val="0"/>
      <w:divBdr>
        <w:top w:val="none" w:sz="0" w:space="0" w:color="auto"/>
        <w:left w:val="none" w:sz="0" w:space="0" w:color="auto"/>
        <w:bottom w:val="none" w:sz="0" w:space="0" w:color="auto"/>
        <w:right w:val="none" w:sz="0" w:space="0" w:color="auto"/>
      </w:divBdr>
    </w:div>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59932528">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162857">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320352354">
      <w:bodyDiv w:val="1"/>
      <w:marLeft w:val="0"/>
      <w:marRight w:val="0"/>
      <w:marTop w:val="0"/>
      <w:marBottom w:val="0"/>
      <w:divBdr>
        <w:top w:val="none" w:sz="0" w:space="0" w:color="auto"/>
        <w:left w:val="none" w:sz="0" w:space="0" w:color="auto"/>
        <w:bottom w:val="none" w:sz="0" w:space="0" w:color="auto"/>
        <w:right w:val="none" w:sz="0" w:space="0" w:color="auto"/>
      </w:divBdr>
    </w:div>
    <w:div w:id="404112197">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797186197">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4777627">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35545601">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281915254">
      <w:bodyDiv w:val="1"/>
      <w:marLeft w:val="0"/>
      <w:marRight w:val="0"/>
      <w:marTop w:val="0"/>
      <w:marBottom w:val="0"/>
      <w:divBdr>
        <w:top w:val="none" w:sz="0" w:space="0" w:color="auto"/>
        <w:left w:val="none" w:sz="0" w:space="0" w:color="auto"/>
        <w:bottom w:val="none" w:sz="0" w:space="0" w:color="auto"/>
        <w:right w:val="none" w:sz="0" w:space="0" w:color="auto"/>
      </w:divBdr>
    </w:div>
    <w:div w:id="1405378615">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76348793">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697460476">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5873247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4679606">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03467253">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ALRpisf4RKiJvLxhranTUfWzDec=</DigestValue>
    </Reference>
    <Reference URI="#idOfficeObject" Type="http://www.w3.org/2000/09/xmldsig#Object">
      <DigestMethod Algorithm="http://www.w3.org/2000/09/xmldsig#sha1"/>
      <DigestValue>1yWrQK3WbeYCYFgaJRtLxpKg/hA=</DigestValue>
    </Reference>
  </SignedInfo>
  <SignatureValue>
    YZoDFufCCJGGcfveVRRahabgwE2zoWmY86jVIdgWDCpT2aAuMp42VcyyCbyRMMBxyGqKA+35
    GMHwEQuL9tltythUKbum17FqHCr8pTZuz3HOmVfNY7OzKr63AnCMyVAjLez35l20unnAJDLF
    99VMUUR+NrWTQvLAVUMRfngBoLn6ix4gjHWod0F1juGAdjMsCcpQayjTTdWHz05hZH1W19uO
    HM6Kd0oM7fte6zEsg5SdSzuoHFZnP3z9EVY7kQg1VQwF9iZorYoYOssE6neIzXGzpKzeozVJ
    7ohOSjDODTFjgTickZE9oPbzPmXRNbgFvzoKTlQMVhfucBNR3yA6ow==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xsj4Q6XGD97Ri0Z3EWZ1NC7EELY=</DigestValue>
      </Reference>
      <Reference URI="/word/endnotes.xml?ContentType=application/vnd.openxmlformats-officedocument.wordprocessingml.endnotes+xml">
        <DigestMethod Algorithm="http://www.w3.org/2000/09/xmldsig#sha1"/>
        <DigestValue>rBkQQjZLpLd3MKxHLXO2u1pqqx4=</DigestValue>
      </Reference>
      <Reference URI="/word/fontTable.xml?ContentType=application/vnd.openxmlformats-officedocument.wordprocessingml.fontTable+xml">
        <DigestMethod Algorithm="http://www.w3.org/2000/09/xmldsig#sha1"/>
        <DigestValue>/mTCXdb5htvmaX74CDbPzO+1COY=</DigestValue>
      </Reference>
      <Reference URI="/word/footer1.xml?ContentType=application/vnd.openxmlformats-officedocument.wordprocessingml.footer+xml">
        <DigestMethod Algorithm="http://www.w3.org/2000/09/xmldsig#sha1"/>
        <DigestValue>Goa7CbCOLLc6WScWGsYrSFY6YlI=</DigestValue>
      </Reference>
      <Reference URI="/word/footer2.xml?ContentType=application/vnd.openxmlformats-officedocument.wordprocessingml.footer+xml">
        <DigestMethod Algorithm="http://www.w3.org/2000/09/xmldsig#sha1"/>
        <DigestValue>zMDiJk7XwkNPu7u+nRrpIX6JkUw=</DigestValue>
      </Reference>
      <Reference URI="/word/footer3.xml?ContentType=application/vnd.openxmlformats-officedocument.wordprocessingml.footer+xml">
        <DigestMethod Algorithm="http://www.w3.org/2000/09/xmldsig#sha1"/>
        <DigestValue>u0JCIVETyjyygpCF8a3VE4VFR3U=</DigestValue>
      </Reference>
      <Reference URI="/word/footnotes.xml?ContentType=application/vnd.openxmlformats-officedocument.wordprocessingml.footnotes+xml">
        <DigestMethod Algorithm="http://www.w3.org/2000/09/xmldsig#sha1"/>
        <DigestValue>MxZpxN5KzZeqviCxJsyipsQe56k=</DigestValue>
      </Reference>
      <Reference URI="/word/header1.xml?ContentType=application/vnd.openxmlformats-officedocument.wordprocessingml.header+xml">
        <DigestMethod Algorithm="http://www.w3.org/2000/09/xmldsig#sha1"/>
        <DigestValue>/Mgeu89gcEXpjf80nKTYcmWIHQ0=</DigestValue>
      </Reference>
      <Reference URI="/word/header2.xml?ContentType=application/vnd.openxmlformats-officedocument.wordprocessingml.header+xml">
        <DigestMethod Algorithm="http://www.w3.org/2000/09/xmldsig#sha1"/>
        <DigestValue>v+1pBeTSsqh23MyvCT5FmCVYFtE=</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k9a7Mk+WGArzG+LU6EE8UmsYrlA=</DigestValue>
      </Reference>
      <Reference URI="/word/settings.xml?ContentType=application/vnd.openxmlformats-officedocument.wordprocessingml.settings+xml">
        <DigestMethod Algorithm="http://www.w3.org/2000/09/xmldsig#sha1"/>
        <DigestValue>kYQV5PE+tYokmh1k7lEn9twvoMc=</DigestValue>
      </Reference>
      <Reference URI="/word/styles.xml?ContentType=application/vnd.openxmlformats-officedocument.wordprocessingml.styles+xml">
        <DigestMethod Algorithm="http://www.w3.org/2000/09/xmldsig#sha1"/>
        <DigestValue>Q5m8OQOO/+neiUDBSEgEAsRWt6o=</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ysihv9q0QCaqGcwjOaMaEfGNYhQ=</DigestValue>
      </Reference>
    </Manifest>
    <SignatureProperties>
      <SignatureProperty Id="idSignatureTime" Target="#idPackageSignature">
        <mdssi:SignatureTime>
          <mdssi:Format>YYYY-MM-DDThh:mm:ssTZD</mdssi:Format>
          <mdssi:Value>2014-07-04T08:49:36Z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440B6-74CB-4C58-807E-9DBCBA55B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850</Words>
  <Characters>5071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5910</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4</cp:revision>
  <cp:lastPrinted>2012-02-02T14:51:00Z</cp:lastPrinted>
  <dcterms:created xsi:type="dcterms:W3CDTF">2014-07-04T08:42:00Z</dcterms:created>
  <dcterms:modified xsi:type="dcterms:W3CDTF">2014-07-04T08:49:00Z</dcterms:modified>
</cp:coreProperties>
</file>