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5B66F" w14:textId="77777777" w:rsidR="00ED7E07" w:rsidRPr="00ED7E07" w:rsidRDefault="00E66719" w:rsidP="00ED7E07">
      <w:pPr>
        <w:pStyle w:val="Nadpis1"/>
        <w:widowControl w:val="0"/>
        <w:tabs>
          <w:tab w:val="left" w:pos="1418"/>
        </w:tabs>
        <w:spacing w:before="0" w:line="240" w:lineRule="auto"/>
        <w:rPr>
          <w:rFonts w:ascii="Calibri" w:eastAsiaTheme="minorEastAsia" w:hAnsi="Calibri" w:cs="Calibri"/>
          <w:color w:val="000000" w:themeColor="text1"/>
          <w:kern w:val="28"/>
          <w:sz w:val="36"/>
          <w:lang w:eastAsia="cs-CZ"/>
        </w:rPr>
      </w:pPr>
      <w:r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 xml:space="preserve">Annex No. </w:t>
      </w:r>
      <w:r w:rsidR="00840FC8"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>1</w:t>
      </w:r>
      <w:r w:rsidR="00ED7E07" w:rsidRPr="00ED7E07"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 xml:space="preserve"> </w:t>
      </w:r>
      <w:r w:rsidR="009133D3">
        <w:rPr>
          <w:rFonts w:ascii="Calibri" w:eastAsiaTheme="minorEastAsia" w:hAnsi="Calibri" w:cs="Calibri"/>
          <w:color w:val="000000" w:themeColor="text1"/>
          <w:kern w:val="28"/>
          <w:sz w:val="36"/>
          <w:lang w:eastAsia="cs-CZ"/>
        </w:rPr>
        <w:t>to the I</w:t>
      </w:r>
      <w:r w:rsidR="00ED7E07" w:rsidRPr="00ED7E07">
        <w:rPr>
          <w:rFonts w:ascii="Calibri" w:eastAsiaTheme="minorEastAsia" w:hAnsi="Calibri" w:cs="Calibri"/>
          <w:color w:val="000000" w:themeColor="text1"/>
          <w:kern w:val="28"/>
          <w:sz w:val="36"/>
          <w:lang w:eastAsia="cs-CZ"/>
        </w:rPr>
        <w:t>nvitation to the tender</w:t>
      </w:r>
    </w:p>
    <w:p w14:paraId="2D4469B0" w14:textId="77777777" w:rsidR="00ED7E07" w:rsidRPr="00ED7E07" w:rsidRDefault="00ED7E07" w:rsidP="00ED7E07">
      <w:pPr>
        <w:pStyle w:val="Nadpis1"/>
        <w:widowControl w:val="0"/>
        <w:tabs>
          <w:tab w:val="left" w:pos="1418"/>
        </w:tabs>
        <w:spacing w:before="0" w:line="240" w:lineRule="auto"/>
        <w:rPr>
          <w:rFonts w:ascii="Calibri" w:eastAsiaTheme="minorEastAsia" w:hAnsi="Calibri" w:cs="Calibri"/>
          <w:color w:val="000000" w:themeColor="text1"/>
          <w:kern w:val="28"/>
          <w:sz w:val="36"/>
          <w:lang w:val="en-GB" w:eastAsia="cs-CZ"/>
        </w:rPr>
      </w:pPr>
      <w:r w:rsidRPr="00ED7E07"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 xml:space="preserve">Annex No. </w:t>
      </w:r>
      <w:r w:rsidR="00840FC8"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>1</w:t>
      </w:r>
      <w:r w:rsidRPr="00ED7E07">
        <w:rPr>
          <w:rFonts w:ascii="Calibri" w:eastAsiaTheme="minorEastAsia" w:hAnsi="Calibri" w:cs="Calibri"/>
          <w:bCs w:val="0"/>
          <w:color w:val="000000" w:themeColor="text1"/>
          <w:kern w:val="28"/>
          <w:sz w:val="36"/>
          <w:szCs w:val="22"/>
          <w:lang w:val="en-US" w:eastAsia="cs-CZ"/>
        </w:rPr>
        <w:t xml:space="preserve"> </w:t>
      </w:r>
      <w:r w:rsidRPr="00ED7E07">
        <w:rPr>
          <w:rFonts w:ascii="Calibri" w:eastAsiaTheme="minorEastAsia" w:hAnsi="Calibri" w:cs="Calibri"/>
          <w:color w:val="000000" w:themeColor="text1"/>
          <w:kern w:val="28"/>
          <w:sz w:val="36"/>
          <w:lang w:eastAsia="cs-CZ"/>
        </w:rPr>
        <w:t>to the Contract</w:t>
      </w:r>
    </w:p>
    <w:p w14:paraId="3497599A" w14:textId="77777777" w:rsidR="00B5798F" w:rsidRDefault="006531E8" w:rsidP="00B5798F">
      <w:pPr>
        <w:pStyle w:val="Nadpis1"/>
        <w:keepNext w:val="0"/>
        <w:keepLines w:val="0"/>
        <w:widowControl w:val="0"/>
        <w:tabs>
          <w:tab w:val="left" w:pos="1418"/>
        </w:tabs>
        <w:spacing w:before="0" w:line="240" w:lineRule="auto"/>
        <w:rPr>
          <w:rFonts w:ascii="Calibri" w:eastAsiaTheme="minorEastAsia" w:hAnsi="Calibri" w:cs="Calibri"/>
          <w:bCs w:val="0"/>
          <w:color w:val="auto"/>
          <w:kern w:val="28"/>
          <w:sz w:val="36"/>
          <w:szCs w:val="22"/>
          <w:lang w:val="en-US" w:eastAsia="cs-CZ"/>
        </w:rPr>
      </w:pPr>
      <w:r w:rsidRPr="00B5798F">
        <w:rPr>
          <w:rFonts w:ascii="Calibri" w:eastAsiaTheme="minorEastAsia" w:hAnsi="Calibri" w:cs="Calibri"/>
          <w:bCs w:val="0"/>
          <w:color w:val="auto"/>
          <w:kern w:val="28"/>
          <w:sz w:val="36"/>
          <w:szCs w:val="22"/>
          <w:lang w:val="en-US" w:eastAsia="cs-CZ"/>
        </w:rPr>
        <w:t xml:space="preserve"> </w:t>
      </w:r>
    </w:p>
    <w:p w14:paraId="2D5544E2" w14:textId="77777777" w:rsidR="006531E8" w:rsidRPr="00B5798F" w:rsidRDefault="006531E8" w:rsidP="00B5798F">
      <w:pPr>
        <w:pStyle w:val="Nadpis1"/>
        <w:keepNext w:val="0"/>
        <w:keepLines w:val="0"/>
        <w:widowControl w:val="0"/>
        <w:tabs>
          <w:tab w:val="left" w:pos="1418"/>
        </w:tabs>
        <w:spacing w:before="120" w:after="200"/>
        <w:jc w:val="center"/>
        <w:rPr>
          <w:rFonts w:ascii="Calibri" w:eastAsiaTheme="minorEastAsia" w:hAnsi="Calibri" w:cs="Calibri"/>
          <w:bCs w:val="0"/>
          <w:color w:val="auto"/>
          <w:kern w:val="28"/>
          <w:sz w:val="36"/>
          <w:szCs w:val="22"/>
          <w:lang w:val="en-US" w:eastAsia="cs-CZ"/>
        </w:rPr>
      </w:pPr>
      <w:r w:rsidRPr="00B5798F">
        <w:rPr>
          <w:rFonts w:ascii="Calibri" w:eastAsiaTheme="minorEastAsia" w:hAnsi="Calibri" w:cs="Calibri"/>
          <w:bCs w:val="0"/>
          <w:color w:val="auto"/>
          <w:kern w:val="28"/>
          <w:sz w:val="32"/>
          <w:szCs w:val="32"/>
          <w:lang w:val="en-US" w:eastAsia="cs-CZ"/>
        </w:rPr>
        <w:t xml:space="preserve">Technical </w:t>
      </w:r>
      <w:r w:rsidR="00325D5B" w:rsidRPr="00B5798F">
        <w:rPr>
          <w:rFonts w:ascii="Calibri" w:eastAsiaTheme="minorEastAsia" w:hAnsi="Calibri" w:cs="Calibri"/>
          <w:bCs w:val="0"/>
          <w:color w:val="auto"/>
          <w:kern w:val="28"/>
          <w:sz w:val="32"/>
          <w:szCs w:val="32"/>
          <w:lang w:val="en-US" w:eastAsia="cs-CZ"/>
        </w:rPr>
        <w:t xml:space="preserve">Specification of the </w:t>
      </w:r>
      <w:r w:rsidR="00E44EED" w:rsidRPr="00B5798F">
        <w:rPr>
          <w:rFonts w:ascii="Calibri" w:eastAsiaTheme="minorEastAsia" w:hAnsi="Calibri" w:cs="Calibri"/>
          <w:bCs w:val="0"/>
          <w:color w:val="auto"/>
          <w:kern w:val="28"/>
          <w:sz w:val="32"/>
          <w:szCs w:val="32"/>
          <w:lang w:val="en-US" w:eastAsia="cs-CZ"/>
        </w:rPr>
        <w:t>S</w:t>
      </w:r>
      <w:r w:rsidR="00325D5B" w:rsidRPr="00B5798F">
        <w:rPr>
          <w:rFonts w:ascii="Calibri" w:eastAsiaTheme="minorEastAsia" w:hAnsi="Calibri" w:cs="Calibri"/>
          <w:bCs w:val="0"/>
          <w:color w:val="auto"/>
          <w:kern w:val="28"/>
          <w:sz w:val="32"/>
          <w:szCs w:val="32"/>
          <w:lang w:val="en-US" w:eastAsia="cs-CZ"/>
        </w:rPr>
        <w:t>upply</w:t>
      </w:r>
    </w:p>
    <w:p w14:paraId="3B406712" w14:textId="77777777" w:rsidR="0026114F" w:rsidRPr="00B5798F" w:rsidRDefault="0026114F" w:rsidP="0026114F">
      <w:pPr>
        <w:pStyle w:val="Nadpis1"/>
        <w:rPr>
          <w:rFonts w:ascii="Calibri" w:hAnsi="Calibri" w:cs="Calibri"/>
          <w:color w:val="auto"/>
          <w:lang w:val="en-US"/>
        </w:rPr>
      </w:pPr>
      <w:r w:rsidRPr="00B5798F">
        <w:rPr>
          <w:rFonts w:ascii="Calibri" w:hAnsi="Calibri" w:cs="Calibri"/>
          <w:color w:val="auto"/>
          <w:lang w:val="en-US"/>
        </w:rPr>
        <w:t>Technical parameters table</w:t>
      </w:r>
      <w:r w:rsidR="003A57D5">
        <w:rPr>
          <w:rFonts w:ascii="Calibri" w:hAnsi="Calibri" w:cs="Calibri"/>
          <w:color w:val="auto"/>
          <w:lang w:val="en-US"/>
        </w:rPr>
        <w:t xml:space="preserve"> of fog and cloud droplet</w:t>
      </w:r>
      <w:r w:rsidR="00F46CD2">
        <w:rPr>
          <w:rFonts w:ascii="Calibri" w:hAnsi="Calibri" w:cs="Calibri"/>
          <w:color w:val="auto"/>
          <w:lang w:val="en-US"/>
        </w:rPr>
        <w:t xml:space="preserve"> monitor</w:t>
      </w:r>
    </w:p>
    <w:p w14:paraId="30BEF6A1" w14:textId="77777777" w:rsidR="00734989" w:rsidRPr="00B5798F" w:rsidRDefault="00734989" w:rsidP="00734989">
      <w:pPr>
        <w:rPr>
          <w:rFonts w:ascii="Calibri" w:hAnsi="Calibri" w:cs="Calibri"/>
          <w:lang w:val="en-U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27"/>
        <w:gridCol w:w="3422"/>
        <w:gridCol w:w="3013"/>
      </w:tblGrid>
      <w:tr w:rsidR="00F46CD2" w:rsidRPr="00F46CD2" w14:paraId="341BE233" w14:textId="77777777" w:rsidTr="00791726">
        <w:trPr>
          <w:trHeight w:val="397"/>
        </w:trPr>
        <w:tc>
          <w:tcPr>
            <w:tcW w:w="2660" w:type="dxa"/>
          </w:tcPr>
          <w:p w14:paraId="29085735" w14:textId="77777777" w:rsidR="00F46CD2" w:rsidRPr="00F46CD2" w:rsidRDefault="00F46CD2" w:rsidP="00791726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b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3480" w:type="dxa"/>
          </w:tcPr>
          <w:p w14:paraId="40064221" w14:textId="77777777" w:rsidR="00F46CD2" w:rsidRPr="00F46CD2" w:rsidRDefault="00F46CD2" w:rsidP="00791726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b/>
                <w:sz w:val="24"/>
                <w:szCs w:val="24"/>
                <w:lang w:val="en-US"/>
              </w:rPr>
              <w:t>Required value</w:t>
            </w:r>
          </w:p>
        </w:tc>
        <w:tc>
          <w:tcPr>
            <w:tcW w:w="3071" w:type="dxa"/>
          </w:tcPr>
          <w:p w14:paraId="4B23B677" w14:textId="77777777" w:rsidR="00F46CD2" w:rsidRPr="00F46CD2" w:rsidRDefault="00F46CD2" w:rsidP="00791726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b/>
                <w:sz w:val="24"/>
                <w:szCs w:val="24"/>
                <w:lang w:val="en-US"/>
              </w:rPr>
              <w:t>Offered value to be deli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vered</w:t>
            </w:r>
          </w:p>
        </w:tc>
      </w:tr>
      <w:tr w:rsidR="00F46CD2" w:rsidRPr="00F46CD2" w14:paraId="3A93BA49" w14:textId="77777777" w:rsidTr="00791726">
        <w:trPr>
          <w:trHeight w:val="397"/>
        </w:trPr>
        <w:tc>
          <w:tcPr>
            <w:tcW w:w="2660" w:type="dxa"/>
          </w:tcPr>
          <w:p w14:paraId="2CC198BE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Mode of operation</w:t>
            </w:r>
          </w:p>
        </w:tc>
        <w:tc>
          <w:tcPr>
            <w:tcW w:w="3480" w:type="dxa"/>
          </w:tcPr>
          <w:p w14:paraId="1A0D7F2D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Long-term, continuous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br/>
              <w:t>Remote control possible</w:t>
            </w:r>
          </w:p>
          <w:p w14:paraId="12D4A623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Remote access to data</w:t>
            </w:r>
          </w:p>
        </w:tc>
        <w:tc>
          <w:tcPr>
            <w:tcW w:w="3071" w:type="dxa"/>
          </w:tcPr>
          <w:p w14:paraId="02F63674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7F4A60F6" w14:textId="77777777" w:rsidTr="00791726">
        <w:trPr>
          <w:trHeight w:val="397"/>
        </w:trPr>
        <w:tc>
          <w:tcPr>
            <w:tcW w:w="2660" w:type="dxa"/>
          </w:tcPr>
          <w:p w14:paraId="505E5A90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Sampling head</w:t>
            </w:r>
          </w:p>
        </w:tc>
        <w:tc>
          <w:tcPr>
            <w:tcW w:w="3480" w:type="dxa"/>
          </w:tcPr>
          <w:p w14:paraId="4EC52133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With heating</w:t>
            </w:r>
          </w:p>
        </w:tc>
        <w:tc>
          <w:tcPr>
            <w:tcW w:w="3071" w:type="dxa"/>
          </w:tcPr>
          <w:p w14:paraId="7B978807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7C2B184E" w14:textId="77777777" w:rsidTr="00791726">
        <w:trPr>
          <w:trHeight w:val="397"/>
        </w:trPr>
        <w:tc>
          <w:tcPr>
            <w:tcW w:w="2660" w:type="dxa"/>
          </w:tcPr>
          <w:p w14:paraId="6376B746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Particle size range</w:t>
            </w:r>
          </w:p>
        </w:tc>
        <w:tc>
          <w:tcPr>
            <w:tcW w:w="3480" w:type="dxa"/>
          </w:tcPr>
          <w:p w14:paraId="5C61E6A6" w14:textId="69EC40FF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0.</w:t>
            </w:r>
            <w:r w:rsidR="00CB4E37">
              <w:rPr>
                <w:rFonts w:cstheme="minorHAnsi"/>
                <w:sz w:val="24"/>
                <w:szCs w:val="24"/>
                <w:lang w:val="en-US"/>
              </w:rPr>
              <w:t>6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t xml:space="preserve"> – </w:t>
            </w:r>
            <w:r w:rsidR="00CB4E37">
              <w:rPr>
                <w:rFonts w:cstheme="minorHAnsi"/>
                <w:sz w:val="24"/>
                <w:szCs w:val="24"/>
                <w:lang w:val="en-US"/>
              </w:rPr>
              <w:t>4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t>0 µm</w:t>
            </w:r>
          </w:p>
        </w:tc>
        <w:tc>
          <w:tcPr>
            <w:tcW w:w="3071" w:type="dxa"/>
          </w:tcPr>
          <w:p w14:paraId="32DA4F90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2C1DCAFF" w14:textId="77777777" w:rsidTr="00791726">
        <w:trPr>
          <w:trHeight w:val="397"/>
        </w:trPr>
        <w:tc>
          <w:tcPr>
            <w:tcW w:w="2660" w:type="dxa"/>
          </w:tcPr>
          <w:p w14:paraId="1C50761A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Number of size bins</w:t>
            </w:r>
          </w:p>
        </w:tc>
        <w:tc>
          <w:tcPr>
            <w:tcW w:w="3480" w:type="dxa"/>
          </w:tcPr>
          <w:p w14:paraId="55CF9065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min. 30</w:t>
            </w:r>
          </w:p>
        </w:tc>
        <w:tc>
          <w:tcPr>
            <w:tcW w:w="3071" w:type="dxa"/>
          </w:tcPr>
          <w:p w14:paraId="16E36170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6DE099CE" w14:textId="77777777" w:rsidTr="00791726">
        <w:trPr>
          <w:trHeight w:val="397"/>
        </w:trPr>
        <w:tc>
          <w:tcPr>
            <w:tcW w:w="2660" w:type="dxa"/>
          </w:tcPr>
          <w:p w14:paraId="0E017327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Range of particle number concentration</w:t>
            </w:r>
          </w:p>
        </w:tc>
        <w:tc>
          <w:tcPr>
            <w:tcW w:w="3480" w:type="dxa"/>
          </w:tcPr>
          <w:p w14:paraId="68AB62D3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vertAlign w:val="superscript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0 – 1000 # / cm</w:t>
            </w:r>
            <w:r w:rsidRPr="00F46CD2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3071" w:type="dxa"/>
          </w:tcPr>
          <w:p w14:paraId="11FB39AF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5CEF4BB8" w14:textId="77777777" w:rsidTr="00791726">
        <w:trPr>
          <w:trHeight w:val="397"/>
        </w:trPr>
        <w:tc>
          <w:tcPr>
            <w:tcW w:w="2660" w:type="dxa"/>
          </w:tcPr>
          <w:p w14:paraId="5C796C9E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Power consumption</w:t>
            </w:r>
          </w:p>
        </w:tc>
        <w:tc>
          <w:tcPr>
            <w:tcW w:w="3480" w:type="dxa"/>
          </w:tcPr>
          <w:p w14:paraId="3948E21C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max. 600 W</w:t>
            </w:r>
          </w:p>
        </w:tc>
        <w:tc>
          <w:tcPr>
            <w:tcW w:w="3071" w:type="dxa"/>
          </w:tcPr>
          <w:p w14:paraId="3C17178D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02A5E8D8" w14:textId="77777777" w:rsidTr="00791726">
        <w:trPr>
          <w:trHeight w:val="397"/>
        </w:trPr>
        <w:tc>
          <w:tcPr>
            <w:tcW w:w="2660" w:type="dxa"/>
          </w:tcPr>
          <w:p w14:paraId="6338C754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Ambient temperature during operation</w:t>
            </w:r>
          </w:p>
        </w:tc>
        <w:tc>
          <w:tcPr>
            <w:tcW w:w="3480" w:type="dxa"/>
          </w:tcPr>
          <w:p w14:paraId="1443DA87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-30 ºC - +50ºC</w:t>
            </w:r>
          </w:p>
        </w:tc>
        <w:tc>
          <w:tcPr>
            <w:tcW w:w="3071" w:type="dxa"/>
          </w:tcPr>
          <w:p w14:paraId="0A232DEF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0E1BFCB0" w14:textId="77777777" w:rsidTr="00791726">
        <w:trPr>
          <w:trHeight w:val="397"/>
        </w:trPr>
        <w:tc>
          <w:tcPr>
            <w:tcW w:w="2660" w:type="dxa"/>
          </w:tcPr>
          <w:p w14:paraId="31E250BB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Weight</w:t>
            </w:r>
          </w:p>
        </w:tc>
        <w:tc>
          <w:tcPr>
            <w:tcW w:w="3480" w:type="dxa"/>
          </w:tcPr>
          <w:p w14:paraId="523FDA7F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max. 40 kg</w:t>
            </w:r>
          </w:p>
        </w:tc>
        <w:tc>
          <w:tcPr>
            <w:tcW w:w="3071" w:type="dxa"/>
          </w:tcPr>
          <w:p w14:paraId="76AE0C54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485D62FE" w14:textId="77777777" w:rsidTr="00791726">
        <w:trPr>
          <w:trHeight w:val="397"/>
        </w:trPr>
        <w:tc>
          <w:tcPr>
            <w:tcW w:w="2660" w:type="dxa"/>
          </w:tcPr>
          <w:p w14:paraId="62B99D50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Output data</w:t>
            </w:r>
          </w:p>
        </w:tc>
        <w:tc>
          <w:tcPr>
            <w:tcW w:w="3480" w:type="dxa"/>
          </w:tcPr>
          <w:p w14:paraId="05D4FACE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Particle size distribution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br/>
              <w:t>Particle number concentration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br/>
              <w:t>Median volume diameter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br/>
              <w:t>Effective diameter</w:t>
            </w:r>
            <w:r w:rsidRPr="00F46CD2">
              <w:rPr>
                <w:rFonts w:cstheme="minorHAnsi"/>
                <w:sz w:val="24"/>
                <w:szCs w:val="24"/>
                <w:lang w:val="en-US"/>
              </w:rPr>
              <w:br/>
              <w:t>Liquid water content</w:t>
            </w:r>
          </w:p>
        </w:tc>
        <w:tc>
          <w:tcPr>
            <w:tcW w:w="3071" w:type="dxa"/>
          </w:tcPr>
          <w:p w14:paraId="56A66429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46CD2" w:rsidRPr="00F46CD2" w14:paraId="34A50D55" w14:textId="77777777" w:rsidTr="00791726">
        <w:trPr>
          <w:trHeight w:val="397"/>
        </w:trPr>
        <w:tc>
          <w:tcPr>
            <w:tcW w:w="2660" w:type="dxa"/>
          </w:tcPr>
          <w:p w14:paraId="41AB8BE8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Output data rate</w:t>
            </w:r>
          </w:p>
        </w:tc>
        <w:tc>
          <w:tcPr>
            <w:tcW w:w="3480" w:type="dxa"/>
          </w:tcPr>
          <w:p w14:paraId="6D2310C1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</w:rPr>
            </w:pPr>
            <w:r w:rsidRPr="00F46CD2">
              <w:rPr>
                <w:rFonts w:cstheme="minorHAnsi"/>
                <w:sz w:val="24"/>
                <w:szCs w:val="24"/>
                <w:lang w:val="en-US"/>
              </w:rPr>
              <w:t>Selectable</w:t>
            </w:r>
          </w:p>
        </w:tc>
        <w:tc>
          <w:tcPr>
            <w:tcW w:w="3071" w:type="dxa"/>
          </w:tcPr>
          <w:p w14:paraId="7546B545" w14:textId="77777777" w:rsidR="00F46CD2" w:rsidRPr="00F46CD2" w:rsidRDefault="00F46CD2" w:rsidP="0079172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3AFD33B2" w14:textId="77777777" w:rsidR="008D21D2" w:rsidRPr="00B5798F" w:rsidRDefault="008D21D2">
      <w:pPr>
        <w:rPr>
          <w:rFonts w:ascii="Calibri" w:hAnsi="Calibri" w:cs="Calibri"/>
          <w:lang w:val="en-US"/>
        </w:rPr>
      </w:pPr>
    </w:p>
    <w:sectPr w:rsidR="008D21D2" w:rsidRPr="00B5798F" w:rsidSect="00931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C9772" w14:textId="77777777" w:rsidR="00F1200F" w:rsidRDefault="00F1200F" w:rsidP="006531E8">
      <w:pPr>
        <w:spacing w:after="0" w:line="240" w:lineRule="auto"/>
      </w:pPr>
      <w:r>
        <w:separator/>
      </w:r>
    </w:p>
  </w:endnote>
  <w:endnote w:type="continuationSeparator" w:id="0">
    <w:p w14:paraId="29DD6EE8" w14:textId="77777777" w:rsidR="00F1200F" w:rsidRDefault="00F1200F" w:rsidP="00653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493D" w14:textId="77777777" w:rsidR="00F1200F" w:rsidRDefault="00F1200F" w:rsidP="006531E8">
      <w:pPr>
        <w:spacing w:after="0" w:line="240" w:lineRule="auto"/>
      </w:pPr>
      <w:r>
        <w:separator/>
      </w:r>
    </w:p>
  </w:footnote>
  <w:footnote w:type="continuationSeparator" w:id="0">
    <w:p w14:paraId="183AC7EA" w14:textId="77777777" w:rsidR="00F1200F" w:rsidRDefault="00F1200F" w:rsidP="00653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46CB"/>
    <w:multiLevelType w:val="multilevel"/>
    <w:tmpl w:val="8460C6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73315018">
    <w:abstractNumId w:val="0"/>
  </w:num>
  <w:num w:numId="2" w16cid:durableId="721488017">
    <w:abstractNumId w:val="0"/>
  </w:num>
  <w:num w:numId="3" w16cid:durableId="1948271670">
    <w:abstractNumId w:val="0"/>
  </w:num>
  <w:num w:numId="4" w16cid:durableId="250942155">
    <w:abstractNumId w:val="0"/>
  </w:num>
  <w:num w:numId="5" w16cid:durableId="549809722">
    <w:abstractNumId w:val="0"/>
  </w:num>
  <w:num w:numId="6" w16cid:durableId="2004626495">
    <w:abstractNumId w:val="0"/>
  </w:num>
  <w:num w:numId="7" w16cid:durableId="227157343">
    <w:abstractNumId w:val="0"/>
  </w:num>
  <w:num w:numId="8" w16cid:durableId="1716345541">
    <w:abstractNumId w:val="0"/>
  </w:num>
  <w:num w:numId="9" w16cid:durableId="175369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4F"/>
    <w:rsid w:val="001601BA"/>
    <w:rsid w:val="00167E62"/>
    <w:rsid w:val="001A22E8"/>
    <w:rsid w:val="001C627B"/>
    <w:rsid w:val="001F2937"/>
    <w:rsid w:val="002037F1"/>
    <w:rsid w:val="0026114F"/>
    <w:rsid w:val="0026786D"/>
    <w:rsid w:val="002C2F55"/>
    <w:rsid w:val="00325D5B"/>
    <w:rsid w:val="003A57D5"/>
    <w:rsid w:val="00497CB1"/>
    <w:rsid w:val="004A7CD7"/>
    <w:rsid w:val="00534503"/>
    <w:rsid w:val="00554711"/>
    <w:rsid w:val="00576923"/>
    <w:rsid w:val="005C6AAB"/>
    <w:rsid w:val="0063029D"/>
    <w:rsid w:val="006531E8"/>
    <w:rsid w:val="0067161C"/>
    <w:rsid w:val="00734989"/>
    <w:rsid w:val="00840FC8"/>
    <w:rsid w:val="00866623"/>
    <w:rsid w:val="008D21D2"/>
    <w:rsid w:val="009133D3"/>
    <w:rsid w:val="009317E3"/>
    <w:rsid w:val="00970FE5"/>
    <w:rsid w:val="00975591"/>
    <w:rsid w:val="00B21D8E"/>
    <w:rsid w:val="00B346AD"/>
    <w:rsid w:val="00B5798F"/>
    <w:rsid w:val="00B74B0F"/>
    <w:rsid w:val="00CB4E37"/>
    <w:rsid w:val="00CC7CB4"/>
    <w:rsid w:val="00D607EF"/>
    <w:rsid w:val="00DC2DE7"/>
    <w:rsid w:val="00E0477D"/>
    <w:rsid w:val="00E35EA5"/>
    <w:rsid w:val="00E44EED"/>
    <w:rsid w:val="00E66719"/>
    <w:rsid w:val="00EB35FA"/>
    <w:rsid w:val="00ED7E07"/>
    <w:rsid w:val="00F1200F"/>
    <w:rsid w:val="00F4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865F0"/>
  <w15:docId w15:val="{943C00A3-BFCF-4806-B528-B4704C05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4503"/>
  </w:style>
  <w:style w:type="paragraph" w:styleId="Nadpis1">
    <w:name w:val="heading 1"/>
    <w:basedOn w:val="Normln"/>
    <w:next w:val="Normln"/>
    <w:link w:val="Nadpis1Char"/>
    <w:uiPriority w:val="9"/>
    <w:qFormat/>
    <w:rsid w:val="005345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345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345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345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5345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5345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5345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5345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45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3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345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5345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5345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5345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5345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5345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5345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5345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345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iln">
    <w:name w:val="Strong"/>
    <w:basedOn w:val="Standardnpsmoodstavce"/>
    <w:uiPriority w:val="22"/>
    <w:qFormat/>
    <w:rsid w:val="00534503"/>
    <w:rPr>
      <w:b/>
      <w:b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345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45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5345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34503"/>
    <w:rPr>
      <w:i/>
      <w:iCs/>
    </w:rPr>
  </w:style>
  <w:style w:type="paragraph" w:styleId="Bezmezer">
    <w:name w:val="No Spacing"/>
    <w:uiPriority w:val="1"/>
    <w:qFormat/>
    <w:rsid w:val="0053450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50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534503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534503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45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4503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534503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534503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534503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534503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534503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34503"/>
    <w:pPr>
      <w:outlineLvl w:val="9"/>
    </w:pPr>
  </w:style>
  <w:style w:type="table" w:styleId="Mkatabulky">
    <w:name w:val="Table Grid"/>
    <w:basedOn w:val="Normlntabulka"/>
    <w:uiPriority w:val="59"/>
    <w:rsid w:val="0026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53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31E8"/>
  </w:style>
  <w:style w:type="paragraph" w:styleId="Zpat">
    <w:name w:val="footer"/>
    <w:basedOn w:val="Normln"/>
    <w:link w:val="ZpatChar"/>
    <w:uiPriority w:val="99"/>
    <w:unhideWhenUsed/>
    <w:rsid w:val="00653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31E8"/>
  </w:style>
  <w:style w:type="paragraph" w:styleId="Textbubliny">
    <w:name w:val="Balloon Text"/>
    <w:basedOn w:val="Normln"/>
    <w:link w:val="TextbublinyChar"/>
    <w:uiPriority w:val="99"/>
    <w:semiHidden/>
    <w:unhideWhenUsed/>
    <w:rsid w:val="0065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 Pešice</dc:creator>
  <cp:lastModifiedBy>Pavel Pytlík</cp:lastModifiedBy>
  <cp:revision>3</cp:revision>
  <dcterms:created xsi:type="dcterms:W3CDTF">2026-04-21T07:24:00Z</dcterms:created>
  <dcterms:modified xsi:type="dcterms:W3CDTF">2026-04-21T07:24:00Z</dcterms:modified>
</cp:coreProperties>
</file>