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F9058" w14:textId="77777777" w:rsidR="004508B0" w:rsidRPr="00E8627B" w:rsidRDefault="008642AE">
      <w:bookmarkStart w:id="0" w:name="_GoBack"/>
      <w:bookmarkEnd w:id="0"/>
      <w:r w:rsidRPr="00E8627B">
        <w:t>Virtualizační servery 2ks: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1389"/>
      </w:tblGrid>
      <w:tr w:rsidR="00E8627B" w:rsidRPr="00E8627B" w14:paraId="19DD3980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615DD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Požadavek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5A64E4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Splňuje ANO/NE</w:t>
            </w:r>
          </w:p>
        </w:tc>
      </w:tr>
      <w:tr w:rsidR="00E8627B" w:rsidRPr="00E8627B" w14:paraId="20ECB8D8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F3AB18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Šasi pro montáž do standardního racku o velikosti 2U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F793C4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891A6EF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7C0CD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Procesory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063E53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688148DA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BDDBD1" w14:textId="09707406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Osaditelnost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jedním nebo dvěma procesory poslední generace Intel (4 až 28 jader). Požadavek: dva procesory, každý minimálně s 8 jádry, přičemž nelze překročit počet 16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na celý server. Minimální výkon  jednoho CPU je 19800 bodů v testu https://www.cpubenchmark.net/ </w:t>
            </w:r>
            <w:r w:rsidR="00E8627B" w:rsidRPr="00E8627B">
              <w:rPr>
                <w:rFonts w:ascii="Calibri" w:eastAsia="Times New Roman" w:hAnsi="Calibri" w:cs="Times New Roman"/>
                <w:lang w:eastAsia="cs-CZ"/>
              </w:rPr>
              <w:t>k 1. 7. 2018</w:t>
            </w:r>
          </w:p>
          <w:p w14:paraId="4CA6B538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830C72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C877562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D4D26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Paměť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996368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6FC52CA6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AEF9F5" w14:textId="215F80DB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Osaditelnost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až 24 ks DIMM paměťových modulů o kapacitě až 128GB (maximální kapacita 3TB při použití DDR4 LRDIMM nebo až 768GB při použití DD</w:t>
            </w:r>
            <w:r w:rsidR="004042C3" w:rsidRPr="00E8627B">
              <w:rPr>
                <w:rFonts w:ascii="Calibri" w:eastAsia="Times New Roman" w:hAnsi="Calibri" w:cs="Times New Roman"/>
                <w:lang w:eastAsia="cs-CZ"/>
              </w:rPr>
              <w:t>R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4 RDIMM s taktem 2600 MHz). Ochrana paměti: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Advanced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ECC s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multi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-bit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error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protection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, Online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spare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mirrored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memory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 fast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fault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tolerance.  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Požadavek: 384 GB RAM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osazených rovnoměrně ve všech šesti kanálech na každý procesor, minimální pož</w:t>
            </w:r>
            <w:r w:rsidR="00FA2549" w:rsidRPr="00E8627B">
              <w:rPr>
                <w:rFonts w:ascii="Calibri" w:eastAsia="Times New Roman" w:hAnsi="Calibri" w:cs="Times New Roman"/>
                <w:lang w:eastAsia="cs-CZ"/>
              </w:rPr>
              <w:t>a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dovaná velikost paměťového modulu je 32GB.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B7FF2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24001C47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4ECB32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Systém musí podporovat osazení až  128GB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Persistent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Memory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modulů (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např.NVDIMM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o kapacitě 8GB) takových, aby v modulech zůstala data i po výpadku napájení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D636C6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13AF822D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499B2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Interní diskový subsystém serveru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D2B67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765D5B41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21A4A1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Podporované typy diskových zařízení: Hot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Plug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SFF SATA/SAS/SATA SSD/SAS SSD 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NVMe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. Disky musí být označeny systémem zabraňujícím vyjmutí aktuálně používaného disku. Server musí být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osaditelný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minimálně 24ks SFF točivých nebo SSD disků zepředu.</w:t>
            </w:r>
          </w:p>
          <w:p w14:paraId="58B59BB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Požadavek: 10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SAS disků o kapacitě minimálně 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1,8TB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, 2x 240GB SSD. 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24870A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29210F9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82B788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2)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PCIe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3.0  12Gb/s SAS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Raid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řadič s RAID 0/1/1+0/5/50/6/60/1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Advanced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Data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Mirroring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/10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Advanced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Data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Mirroring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 4GB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battery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backed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write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cache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onboard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nebo osazený v PCI Express slotu). Diskový řadič musí podporovat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Secure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encryption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/data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rest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Encryption</w:t>
            </w:r>
            <w:proofErr w:type="spellEnd"/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C7E468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226613A4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A1D3D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Networking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4969A1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A60989D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0C3F5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Server musí být osazen následujícími adaptéry: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E7A2E3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373F3F5B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B70B7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10Gb T  2 portový RJ45 Ethernet adapter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AFE05E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4E40E687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6E4B4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10/25Gb 2 portový SFP+ Ethernet adapter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4B4FCA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4CFE9972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D8A37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PCIe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sloty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0488B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6F6291B3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517BA3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Server musí disponovat celkem 6ks PCI-Express 3.0 slotů, z nichž minimálně dva musí být x16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PCIe</w:t>
            </w:r>
            <w:proofErr w:type="spellEnd"/>
          </w:p>
          <w:p w14:paraId="7700F228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56CF7B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49925AFF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7C6F26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Server musí být osazen 1ks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NVMe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SSD kartou o kapacitě 4TB, sekvenční čtení 3200MB/s, náhodné čtení 617000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IOPs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, latence 85us.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C0C6AB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4714054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B9D06A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Další sloty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7D3BF1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2D5F348D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BD9DB3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Server musí být vybaven minimálně: jedním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seriovým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portem,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Micro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-SD slotem a minimálně 5ks USB 3.0 portů (jeden zepředu, dva zadní a dva uvnitř)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57A4E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2DDF98D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6FC2E4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Napájecí zdroje a větráky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946B1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74450F07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BB4AA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Server musí být osazen redundantními hot-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plug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větráky a musí být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osaditelný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až dvěma hot-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plug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napájecími zdroji s účinností až 94% a výkonem 500W, 800W nebo 1600W na každý. </w:t>
            </w:r>
          </w:p>
          <w:p w14:paraId="642C8805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Požadavek: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dva napájecí zdroje 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800W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6B0900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62F092E2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5E6B11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Podpora průmyslových standardů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3E37D3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FAACC21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3FE468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ACPI 6.1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Compliant</w:t>
            </w:r>
            <w:proofErr w:type="spellEnd"/>
          </w:p>
          <w:p w14:paraId="282A50B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PCIe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3.0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Compliant</w:t>
            </w:r>
            <w:proofErr w:type="spellEnd"/>
          </w:p>
          <w:p w14:paraId="7A6805C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PXE Support</w:t>
            </w:r>
          </w:p>
          <w:p w14:paraId="03B36A95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WOL Support</w:t>
            </w:r>
          </w:p>
          <w:p w14:paraId="150C9931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Microsoft® Logo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certifications</w:t>
            </w:r>
            <w:proofErr w:type="spellEnd"/>
          </w:p>
          <w:p w14:paraId="1F5DB615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USB 3.0 Support</w:t>
            </w:r>
          </w:p>
          <w:p w14:paraId="691F0FD4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USB 2.0 Support</w:t>
            </w:r>
          </w:p>
          <w:p w14:paraId="67AF2DC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Energy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Star</w:t>
            </w:r>
          </w:p>
          <w:p w14:paraId="467CFFFE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ASHRAE A3/A4</w:t>
            </w:r>
          </w:p>
          <w:p w14:paraId="44758A0A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UEFI (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Unified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Extensible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Firmware Interface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Forum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)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3D8882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40262DB0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65CCDB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Podpora operačních systémů a virtualizace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70B03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12237C74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B399B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Microsoft Windows Server</w:t>
            </w:r>
          </w:p>
          <w:p w14:paraId="6C1E01E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Hat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Enterprise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Linux (RHEL)</w:t>
            </w:r>
          </w:p>
          <w:p w14:paraId="563D2DF3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SUSE Linux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Enterprise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Server (SLES)</w:t>
            </w:r>
          </w:p>
          <w:p w14:paraId="0418B47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VMware</w:t>
            </w:r>
            <w:proofErr w:type="spellEnd"/>
          </w:p>
          <w:p w14:paraId="42D13139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ClearOS</w:t>
            </w:r>
            <w:proofErr w:type="spellEnd"/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5A1D50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1BC2F085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6A2150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Systém </w:t>
            </w: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Security</w:t>
            </w:r>
            <w:proofErr w:type="spellEnd"/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8CFC96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4A27C587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91D29E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UEFI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Secure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Boot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Secure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Start support</w:t>
            </w:r>
          </w:p>
          <w:p w14:paraId="1549C900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Security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feature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ensure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servers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do not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execute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compromised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firmware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code</w:t>
            </w:r>
            <w:proofErr w:type="spellEnd"/>
          </w:p>
          <w:p w14:paraId="4AB0B10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FIPS 140-2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validation</w:t>
            </w:r>
            <w:proofErr w:type="spellEnd"/>
          </w:p>
          <w:p w14:paraId="77855ECB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Common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Criteria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certification</w:t>
            </w:r>
            <w:proofErr w:type="spellEnd"/>
          </w:p>
          <w:p w14:paraId="5292837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Configurable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PCI DSS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compliance</w:t>
            </w:r>
            <w:proofErr w:type="spellEnd"/>
          </w:p>
          <w:p w14:paraId="59CB220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Advanced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Encryption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Standard (AES) and Triple Data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Encryption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Standard (3DES) on browser</w:t>
            </w:r>
          </w:p>
          <w:p w14:paraId="60E67682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Support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Commercial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National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Security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Algorithms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(CNSA) mode to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prevent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use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insecure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algorithms</w:t>
            </w:r>
            <w:proofErr w:type="spellEnd"/>
          </w:p>
          <w:p w14:paraId="045D49F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Tamper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-free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updates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-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components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digitally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signed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verified</w:t>
            </w:r>
            <w:proofErr w:type="spellEnd"/>
          </w:p>
          <w:p w14:paraId="09EC7D47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Secure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Recovery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-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recover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critical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firmware to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known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good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state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on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detection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compromised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firmware</w:t>
            </w:r>
          </w:p>
          <w:p w14:paraId="508EC4C4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Ability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rollback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firmware</w:t>
            </w:r>
          </w:p>
          <w:p w14:paraId="101F60FB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Secure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erase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NAND/User data</w:t>
            </w:r>
          </w:p>
          <w:p w14:paraId="1ED8457E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TPM (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Trusted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Platform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Module) 1.2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option</w:t>
            </w:r>
            <w:proofErr w:type="spellEnd"/>
          </w:p>
          <w:p w14:paraId="69EEB11D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TPM (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Trusted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Platform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Module) 2.0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option</w:t>
            </w:r>
            <w:proofErr w:type="spellEnd"/>
          </w:p>
          <w:p w14:paraId="050D842C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Bezel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Locking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Kit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option</w:t>
            </w:r>
            <w:proofErr w:type="spellEnd"/>
          </w:p>
          <w:p w14:paraId="72944F44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Chassis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Intrusion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detection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option</w:t>
            </w:r>
            <w:proofErr w:type="spellEnd"/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B1E840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16FED2C9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D1A38E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Integrovaná vzdálená správa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7C84C8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6E111F39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E932AC" w14:textId="77777777" w:rsidR="00103C66" w:rsidRPr="00E8627B" w:rsidRDefault="00103C66" w:rsidP="003426F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Server musí disponovat vyhrazeným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Gb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portem pro vzdálený management, port musí mít k dispozici úložiště pro firmware, ovladače a další sw komponenty. Úložiště musí být konfigurovatelné pro vytváření instalačních sad s možností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rollback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/patch při pádu aktualizace. Server musí podporovat bez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agentový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vzdálený management. Vzdálený management musí podporovat standardní webové prohlížeče pro grafickou vzdálenou konzoli spolu s tlačítkem pro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Virtual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Power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 podporovat 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lastRenderedPageBreak/>
              <w:t xml:space="preserve">vzdálený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boot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z DVD/CD/USB zařízení a být schopen uchovávat historická data o sw upgradech a patchích. Musí být podporována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vícefaktorová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autentikace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. Musí být monitorovány změny v hw a systémové konfiguraci, musí být podporována rychlá diagnostika vzniklých problémů. Pro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vzádlenou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správu musí být podporována mobilní zařízení Android a Apple OS. Vzdálená konzola musí umožnit současný přístup až 6 uživatelům během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-OS a OS runtime operací, musí existovat schopnost uchovat video z poslední zásadní poruchy a posledního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bootovacího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procesu, musí být podporována MS TS integrace včetně 128 bitové SSL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enkrypce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Secure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Shell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Version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2, musí být podporovány AES a 3DES na prohlížeči a vzdálený firmware update a JAVA free pro vzdálenou konzoli. Musí být podporována současná podpora většího množství serverů a to v následujících komponentách: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Power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Control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Power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Caping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, Firmware Update, konfigurace,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Virtual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Media, Licence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Activation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. Musí být podporována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RESTFullAPI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integrace a předávání hw událostí přímo na výrobce serveru.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49DF87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lastRenderedPageBreak/>
              <w:t> </w:t>
            </w:r>
          </w:p>
        </w:tc>
      </w:tr>
      <w:tr w:rsidR="00E8627B" w:rsidRPr="00E8627B" w14:paraId="61A7F6E2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E7BE1A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Ladění systému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74B09A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6D418C73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B72E5F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Server musí umožňovat práci s profily pro výkonovou optimalizaci.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7AA610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F05345D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B6136A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Secure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Encryption</w:t>
            </w:r>
            <w:proofErr w:type="spellEnd"/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1371E6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220A39D3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B682EA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Server musí podporovat šifrování dat (Data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Rest) jak na interních discích, tak na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cache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diskových řadičů použitím šifrovacích klíčů. Musí být podporován lokální management klíčů pro jeden server, ale také management pro vzdálenou správu klíčů více serverů.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C92E83" w14:textId="77777777" w:rsidR="00103C66" w:rsidRPr="00E8627B" w:rsidRDefault="00103C66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7089033E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66AE9E" w14:textId="75811BA3" w:rsidR="00DC083E" w:rsidRPr="00E8627B" w:rsidRDefault="00DC083E" w:rsidP="00EA013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lang w:eastAsia="cs-CZ"/>
              </w:rPr>
              <w:t>Ostatní: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45959B" w14:textId="77777777" w:rsidR="00DC083E" w:rsidRPr="00E8627B" w:rsidRDefault="00DC083E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0DA2D713" w14:textId="77777777" w:rsidTr="00103C66">
        <w:tc>
          <w:tcPr>
            <w:tcW w:w="423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4F31EE" w14:textId="2B114F56" w:rsidR="00DC083E" w:rsidRPr="00E8627B" w:rsidRDefault="00DC083E" w:rsidP="00EA013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Z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ruka na HW s 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měnou 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sleduj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c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pracovn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den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garantovan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robcem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="0098176F" w:rsidRPr="00E8627B">
              <w:rPr>
                <w:rFonts w:ascii="Calibri" w:eastAsia="Times New Roman" w:hAnsi="Calibri" w:cs="Times New Roman"/>
                <w:lang w:val="en-US" w:eastAsia="cs-CZ"/>
              </w:rPr>
              <w:t xml:space="preserve"> po </w:t>
            </w:r>
            <w:proofErr w:type="spellStart"/>
            <w:r w:rsidR="0098176F" w:rsidRPr="00E8627B">
              <w:rPr>
                <w:rFonts w:ascii="Calibri" w:eastAsia="Times New Roman" w:hAnsi="Calibri" w:cs="Times New Roman"/>
                <w:lang w:val="en-US" w:eastAsia="cs-CZ"/>
              </w:rPr>
              <w:t>dobu</w:t>
            </w:r>
            <w:proofErr w:type="spellEnd"/>
            <w:r w:rsidR="0098176F" w:rsidRPr="00E8627B">
              <w:rPr>
                <w:rFonts w:ascii="Calibri" w:eastAsia="Times New Roman" w:hAnsi="Calibri" w:cs="Times New Roman"/>
                <w:lang w:val="en-US" w:eastAsia="cs-CZ"/>
              </w:rPr>
              <w:t xml:space="preserve"> </w:t>
            </w:r>
            <w:proofErr w:type="spellStart"/>
            <w:r w:rsidR="0098176F" w:rsidRPr="00E8627B">
              <w:rPr>
                <w:rFonts w:ascii="Calibri" w:eastAsia="Times New Roman" w:hAnsi="Calibri" w:cs="Times New Roman"/>
                <w:lang w:val="en-US" w:eastAsia="cs-CZ"/>
              </w:rPr>
              <w:t>minimálně</w:t>
            </w:r>
            <w:proofErr w:type="spellEnd"/>
            <w:r w:rsidR="0098176F" w:rsidRPr="00E8627B">
              <w:rPr>
                <w:rFonts w:ascii="Calibri" w:eastAsia="Times New Roman" w:hAnsi="Calibri" w:cs="Times New Roman"/>
                <w:lang w:val="en-US" w:eastAsia="cs-CZ"/>
              </w:rPr>
              <w:t xml:space="preserve"> 5 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let</w:t>
            </w:r>
          </w:p>
        </w:tc>
        <w:tc>
          <w:tcPr>
            <w:tcW w:w="7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3B3667" w14:textId="77777777" w:rsidR="00DC083E" w:rsidRPr="00E8627B" w:rsidRDefault="00DC083E" w:rsidP="00EA013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14:paraId="1FAB04B4" w14:textId="407A6D11" w:rsidR="00103C66" w:rsidRPr="00E8627B" w:rsidRDefault="00103C66"/>
    <w:p w14:paraId="7EE02F40" w14:textId="77777777" w:rsidR="00EA013D" w:rsidRPr="00E8627B" w:rsidRDefault="003A5AD7">
      <w:r w:rsidRPr="00E8627B">
        <w:t>Páteřní switche 2ks: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1901"/>
        <w:gridCol w:w="1901"/>
      </w:tblGrid>
      <w:tr w:rsidR="00E8627B" w:rsidRPr="00E8627B" w14:paraId="1279B084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0C0C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819D7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Požadavek na funkcionalitu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0C0C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83AC5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Minim</w:t>
            </w:r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ln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požadavky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0C0C0"/>
          </w:tcPr>
          <w:p w14:paraId="627736A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Splňuje ANO/NE</w:t>
            </w:r>
          </w:p>
        </w:tc>
      </w:tr>
      <w:tr w:rsidR="00E8627B" w:rsidRPr="00E8627B" w14:paraId="2EC5B3CF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7582B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Z</w:t>
            </w:r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kladn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vlastnosti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25246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F2C03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19C6E26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8FE94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Tř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da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F479B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L2/L3 switch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5EF561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15C93092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E7B99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Form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t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C8D17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kompaktn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do racku 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C17BD6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5CCEBBA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590DF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Velikost 1U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793D5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32AAB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1F204F4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7C1B1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Počet portů 1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Gbit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/s RJ45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28C12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24x10/100/1000 RJ45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387206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9C5F210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B4D03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Počet portů 1/10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Gbit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/s SFP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+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A44F08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4xSFP+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nez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visl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D78AE5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091B1A8A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E4263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Počet portů 1/10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Gbit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T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9A834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2x RJ45 nezávislé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2AB850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08DB09D6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D5CE1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Podpora "jumbo r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mců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"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4F39E8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ano 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26D5ED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8A0497B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151A0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V</w:t>
            </w:r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ý</w:t>
            </w: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konnostn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parametry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945CB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0B631C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E410106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2FC84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Propustnost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přep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nac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ho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syst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mu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23286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168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Gbps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BD1E4B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8FF1AC8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D11F4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Paketov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přep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nače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A9569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154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Mpps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66C6F8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4625D82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B33FD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Wirespeed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(neblokuj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c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) na všech portech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A555D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1DA725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47C1B97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AA2A8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Vlastnosti </w:t>
            </w: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stohov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2D6E6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F05F1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76EA570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3B58F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lastRenderedPageBreak/>
              <w:t>Podporovan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počet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přep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načů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ve stohu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D168F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9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B4355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E08F352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CDB64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Sestaven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stohu přes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standardizovan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ťov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rozhran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D737B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80FA2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C3D5CDF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6B6C2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Stoh podporuje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distribuovan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přep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paketů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1FF19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083681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C31E28B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20D66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Kter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koli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prvek ve stohu může b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t 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d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c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m prvkem </w:t>
            </w:r>
          </w:p>
          <w:p w14:paraId="4BCD8C1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(1:N redundance)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83954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ano 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E01F57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069A63D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CCB6F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Stoh podporuje jednotnou konfiguraci (IP adresa,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spr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va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konfiguračn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soubor)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937AE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CDF5FC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75A7EB0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1B494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Stoh se chov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jako jedno L2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z pohledu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spanning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tree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D7F25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47854D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30E9F06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BAF89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Podpora seskupen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portů (IEEE 802.3ad) mezi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různ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mi prvky stohu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DF536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28E959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245B58C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F76DB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Stoh se chov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jako jedno L3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(router,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gateway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, peer)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39E43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F51C2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DAB111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528A3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stohov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mezi geograficky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odlišn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mi lokalitami,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vzd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lenost mezi lokalitami 10km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8DF97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5A8F42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80A58DA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BAD36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Kapacita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stohovac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ho propojen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4C030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20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Gbit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/s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71D3F18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AC28976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FF9AE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Protokoly 2. vrstvy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E7807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B39280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A933AC5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204EA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Podpora IEEE 802.3ad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7748B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92E919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FDD3041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42824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Počet LACP skupin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/</w:t>
            </w:r>
            <w:proofErr w:type="spellStart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linek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ve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skupin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ě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8C375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128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/8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D3470E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62C6E81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9106A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Podpora VLAN podle IEEE 802.1Q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B8203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B97E3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2DC762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98393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Počet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aktivn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ch VLAN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D87BA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4 000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70B983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6335C57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AD00F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Počet z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znamů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 tabulce MAC adres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0B056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32768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DC36E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AE29DD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6A4B5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Protokol-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based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VLAN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D8813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E1576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01067B9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CD833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MAC-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based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VLAN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2FAD7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1EC24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17B70BE8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68120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Private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VLAN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8961A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87410D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BEE921B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508A3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Protokol pro definici š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řen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ch VLAN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D4208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MVRP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F090C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10B7585A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68187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IEEE 802.1s -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Multiple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spanning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tree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801E7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C1EB2A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CCA334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C53F5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IEEE 802.1w - Rapid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spanning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Tree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1B29B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31B63A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0450EF5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1D837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Podpora STP instance per VLAN s 802.1Q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tagov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m BPDU (např. PVST+)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48EB8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818E8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CBF0854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5B9EE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Detekce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protilehl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ho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EBCBD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CDP nebo LLDP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5F82C0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D73EB46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AF3FE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Podpora LLDP-MED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3456E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F642F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2204CF1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15CBB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Tunelov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802.1Q v 802.1Q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3461C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296E6C8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08FA9C14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347B9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OAM na Ethernetu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751E2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802.3ah, 802.1ag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11912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C435310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42580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Servisn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protokoly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36BC5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3E3FBE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91BC9EA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D6629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DHCP server pro IPv4 a IPv6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91AD5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3B31AE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365A842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1DE01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DHCP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relay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pro IPv4 a IPv6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2B84A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8D363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60CF75B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F4C25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DHCP klient pro IPv4 a IPv6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D17A8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C57240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CBED416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7A325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DNS klient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EA8DC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D4EA28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088DCB4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DB3A5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lastRenderedPageBreak/>
              <w:t>NTP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5905A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3B85E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CE0B21E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BB8DF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Směrov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unicast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a jeho podpora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4271F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01B92F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A2B0419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1DF3D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Statick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směrov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IPv4 a IPv6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1FE67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D8D33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5611A9B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49123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RIPv2 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RIPng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4DA23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A554C6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C62E88F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46961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Policy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based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routing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na z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kladě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ACL pro IPv4 a IPv6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F805F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09648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0B869F9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809B6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Multicast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a jeho podpora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D6960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45B18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F59020E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C65EC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IGMP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snooping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v2 a v3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2FED8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FB78AE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2ECAFD0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B0C53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MLD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snooping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8A27F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B2B306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9CCB50D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21BB0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IPv4 a IPv6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multicast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VLAN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107D6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DA83A2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7FE8C6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4A925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Bezpečnost a </w:t>
            </w: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QoS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DD96B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EB7BF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EA8754C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5CA8E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Hardware podpora IPv4 a IPv6 ACL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C77D5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C1FE53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0740D36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A8BF0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ACL klasifikace na z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kladě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zdrojov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/c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lov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MAC adresa,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zdrojov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/c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lov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IPv4/v6 adresa, č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slo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zdrojov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ho/c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lov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ho portu, protokol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B6126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EED4B7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9EFD771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2B9E78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BPDU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guard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6B30D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3E953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E19A5B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28F02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Root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guard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92DE5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F6984D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A0BB0D9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F69CB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DHCP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snooping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pro IPv4 a IPv6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E6914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3608CE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B7DEAA2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8C50C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DHCP paket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rate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limit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036A8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D1AE2D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8B70941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9F4B7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HW ochrana proti zahlcen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broadcast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/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multicast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/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unicast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)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nastaviteln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na procentu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ln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rychlost portu 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množstv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paketů za vteřinu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1E6BB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165B3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D1B097F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EAE82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zařazov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do VLAN, přidělen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QoS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 ACL na z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kladě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802.1X ověřen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D88BA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71CEE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510FD8D1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4832F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802.1X  s podporou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odlišn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ch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Guest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VLAN,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Fail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VLAN 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Critical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VLAN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D801E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ECCC78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4C359C3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FDA20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IP source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Guard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pro IPv4 a IPv6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3E4AD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8CA524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EDF8F67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57843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Podpora Source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Address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Validation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pro IPv6  s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využitim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informaci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obsaženych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 DHCPv6 a SLAAC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787E9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E9E02D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BB06B1F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8D3D1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Hardware podpora IPv4 a IPv6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QoS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6D203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F7A237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0CCAEAFA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0A4FA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IEEE 802.1p - minim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ln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počet front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9E161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3C1CC6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0028D62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A539B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traffic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shaping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, GTS 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policing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A3BA21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4287AF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791E2CDF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F6A3C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control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plane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policing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CoPP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>)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F68F9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F0775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2308DE9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AC6E0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Management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060F0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7B95D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42A9660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C0E29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CLI formou RJ45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serial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konsole port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C15E2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ano 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245A07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3446BEC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D7DF3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SSHv2 pro IPv4 a IPv6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9AB12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D8BB25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0392ECF9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ED13C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Podpora SNMPv2c a SNMPv3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1D7BD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2257F5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1C966650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99C10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Možnost omezen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př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stupu k managementu (SSH, SNMP) pomoc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ACL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90238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BB0E6E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6B32CEDB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DFC85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Syslog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1614D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E2B38E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CA9B56F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3698B4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Podpora RBAC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8CEFA8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DD2D7B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28BD82B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A2412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lastRenderedPageBreak/>
              <w:t xml:space="preserve">Podpora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Radius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A99F1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248810E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A5DF4ED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F0BA8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Podpora TACACS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3146E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47AE98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0F9ECF9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89FEDD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Port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mirroring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034B2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SPAN, RSPAN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674CC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358B43F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04F58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Zrcadlen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provozu na z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kladě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ACL 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(traffic mirroring)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4B4908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F3D725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2FD984E7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07AEA6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Netconf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C4075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D5BA51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ED37EA5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CC5D1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Technologie monitoringu provozu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B5C7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sFlow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nebo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NetFlow</w:t>
            </w:r>
            <w:proofErr w:type="spellEnd"/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9B84FA0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8F57D64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AE71C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IP-SLA nebo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alternativn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způsob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monitorov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provozu a dostupnosti služeb s možnou 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vaznost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na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automatick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konfiguračn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změny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syst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mu pro zajištěn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zachov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dostupnosti služeb.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funguje jak IP-SLA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inici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tor.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4EF5F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3E0FE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F8A6A35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D8490F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Podpora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OpenFlow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v1.3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779539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A47E3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FC0CAC8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193A83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Ostatn</w:t>
            </w:r>
            <w:proofErr w:type="spellEnd"/>
            <w:r w:rsidRPr="00E8627B">
              <w:rPr>
                <w:rFonts w:ascii="Calibri" w:eastAsia="Times New Roman" w:hAnsi="Calibri" w:cs="Times New Roman"/>
                <w:b/>
                <w:bCs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E6837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C4E37D5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439E6385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3043C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Z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ruka na HW s 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měnou 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sleduj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c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pracovn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den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garantovan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á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v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ý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robcem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A5236C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ano, v d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é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lce</w:t>
            </w:r>
            <w:proofErr w:type="spellEnd"/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10 let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4CE94A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8627B" w:rsidRPr="00E8627B" w14:paraId="35B65082" w14:textId="77777777" w:rsidTr="00EA013D">
        <w:tc>
          <w:tcPr>
            <w:tcW w:w="290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5CC287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SW aktualizace po dobu </w:t>
            </w:r>
            <w:proofErr w:type="spellStart"/>
            <w:r w:rsidRPr="00E8627B">
              <w:rPr>
                <w:rFonts w:ascii="Calibri" w:eastAsia="Times New Roman" w:hAnsi="Calibri" w:cs="Times New Roman"/>
                <w:lang w:eastAsia="cs-CZ"/>
              </w:rPr>
              <w:t>životn</w:t>
            </w:r>
            <w:proofErr w:type="spellEnd"/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ho cyklu zař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  <w:r w:rsidRPr="00E8627B">
              <w:rPr>
                <w:rFonts w:ascii="Calibri" w:eastAsia="Times New Roman" w:hAnsi="Calibri" w:cs="Times New Roman"/>
                <w:lang w:eastAsia="cs-CZ"/>
              </w:rPr>
              <w:t>zen</w:t>
            </w:r>
            <w:r w:rsidRPr="00E8627B">
              <w:rPr>
                <w:rFonts w:ascii="Calibri" w:eastAsia="Times New Roman" w:hAnsi="Calibri" w:cs="Times New Roman"/>
                <w:lang w:val="en-US" w:eastAsia="cs-CZ"/>
              </w:rPr>
              <w:t>í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9F8D62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ano</w:t>
            </w:r>
          </w:p>
        </w:tc>
        <w:tc>
          <w:tcPr>
            <w:tcW w:w="10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EFFC85B" w14:textId="77777777" w:rsidR="00EA013D" w:rsidRPr="00E8627B" w:rsidRDefault="00EA013D" w:rsidP="00C412A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14:paraId="2E3B5209" w14:textId="77777777" w:rsidR="00EA013D" w:rsidRPr="00E8627B" w:rsidRDefault="00EA013D" w:rsidP="00EA013D">
      <w:r w:rsidRPr="00E8627B">
        <w:br w:type="textWrapping" w:clear="all"/>
      </w:r>
      <w:r w:rsidR="00210F90" w:rsidRPr="00E8627B">
        <w:t xml:space="preserve">Licence softwarově definované </w:t>
      </w:r>
      <w:proofErr w:type="spellStart"/>
      <w:r w:rsidR="00210F90" w:rsidRPr="00E8627B">
        <w:t>storage</w:t>
      </w:r>
      <w:proofErr w:type="spellEnd"/>
      <w:r w:rsidR="00210F90" w:rsidRPr="00E8627B">
        <w:t xml:space="preserve"> 2ks: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1393"/>
      </w:tblGrid>
      <w:tr w:rsidR="00E8627B" w:rsidRPr="00E8627B" w14:paraId="7796E96D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C6EFB3" w14:textId="77777777" w:rsidR="00F74BD1" w:rsidRPr="00E8627B" w:rsidRDefault="00F74BD1" w:rsidP="00210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8627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Požadovaná hodnota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E663FE" w14:textId="77777777" w:rsidR="00F74BD1" w:rsidRPr="00E8627B" w:rsidRDefault="00F74BD1" w:rsidP="00210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8627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Splněno ANO/NE nebo parametry </w:t>
            </w:r>
          </w:p>
        </w:tc>
      </w:tr>
      <w:tr w:rsidR="00E8627B" w:rsidRPr="00E8627B" w14:paraId="60FEEF9E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85F8D9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Nab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Software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Defined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Storage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(SDS) bude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využ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vat SAN infrastrukturu na protokolu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iSCSI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Preferovan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je cluster konfigurace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diskov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ho pole, podporuj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scale-out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architekturu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přid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m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dalš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ch nodů clusteru.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A89F94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E8627B" w:rsidRPr="00E8627B" w14:paraId="56BA76AF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3B6E2B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SDS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umět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virtualizavat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kapacitu z 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vnitřn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ch i externě připojen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ch 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ú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ložišť a tuto kapacitu poskytovat pomoc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standardn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ho protokolu.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FE456F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E8627B" w:rsidRPr="00E8627B" w14:paraId="3A4AD097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67FCBA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Kromě SDS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t v nodech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storage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clusteru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provozovateln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 tak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virtu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servery.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574DA8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E8627B" w:rsidRPr="00E8627B" w14:paraId="493DC303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311149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Nab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t široce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šk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lovateln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 to minim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lně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od dvou nodů a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rozšiřiteln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na minim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lně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10 nodů.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7114F4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E8627B" w:rsidRPr="00E8627B" w14:paraId="7E06FD73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6F12FE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SDS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podporovat min. OS Windows 2008 R2, Windows 2012 a vyšší, Linux,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5.0 a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vyšš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, Hyper-V, HP-UX 11i v3, AIX 6.1,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Solaris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10,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Citrix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Xen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5 včetně „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multi-path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“ připojen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38905B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D693953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36117F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Podpora autentizace uživatelů přes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Active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Directory</w:t>
            </w:r>
            <w:proofErr w:type="spellEnd"/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4A248E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1B4FB947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C8E18C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podporovat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SSD,NVMe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  SAS i NL-SAS disky v jednom nodu současně.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817AC5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E8627B" w:rsidRPr="00E8627B" w14:paraId="1459D7ED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8386DF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SDS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umět vytvořit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logick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disk (LUN) o velikosti min.64TB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DA0E0D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1D4AAB9F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BD5259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Čist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 xml:space="preserve">á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výsledná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 xml:space="preserve"> 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kapacita 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storage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clusteru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t licencována minim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lně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na 50TB 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0D0376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E8627B" w:rsidRPr="00E8627B" w14:paraId="5FFC9260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A6BFDD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Řadiče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diskov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ho pole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podporovat režim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active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/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active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 automaticky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rozkl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dat z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těž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každ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ho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LUNu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na všechny disky v dan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vrstvě.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1B579B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E8627B" w:rsidRPr="00E8627B" w14:paraId="50CC098E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884822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Nab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t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schopn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využ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vat 10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Gbit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technologii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4449B2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E8627B" w:rsidRPr="00E8627B" w14:paraId="04B917DA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9768E6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lastRenderedPageBreak/>
              <w:t>Storage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podporovat No Single Point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of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Failure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tak, aby při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hav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rii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libovoln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ho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storage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nodu/řadiče provoz plynule pokračoval bez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odst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vky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. Rovněž upgrade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syst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mu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storage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clusteru (HW, firmware ...)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t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možn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prov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st bez přerušen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provozu.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A01100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E8627B" w:rsidRPr="00E8627B" w14:paraId="1F0273D4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D4BA6C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umožn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synchronn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replikaci dat mezi uzly clusteru pro zvolen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datov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oblasti na 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ú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rovni nodů clusteru a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synchronn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replikaci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LUNů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mezi dvěma lokalitami.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008BDD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E8627B" w:rsidRPr="00E8627B" w14:paraId="7C8CC64D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225DFD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umožn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takovou rozšiřitelnost,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kter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zabezpeč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pro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extr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př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pady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až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čtyřn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sobnou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synchronn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kopii dat.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7C81D0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6FEC8371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A06B96" w14:textId="77777777" w:rsidR="00F74BD1" w:rsidRPr="00E8627B" w:rsidRDefault="00F74BD1" w:rsidP="00210F9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umožn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asynchronn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kop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rov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dat. Tyto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asynchronn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repliky,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využ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van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zejm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na pro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efektivn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rychl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z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lohov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t možno synchronizovat/integrovat se službou Microsoft VSS pro zajištěn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konzistence dat,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př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padně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v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robce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dodat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integračn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agenty pro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provozovan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aplikace (MS Exchange, MS SQL).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4C3DD3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0A27F9E7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7B844E" w14:textId="77777777" w:rsidR="00F74BD1" w:rsidRPr="00E8627B" w:rsidRDefault="00F74BD1" w:rsidP="00210F90">
            <w:pPr>
              <w:spacing w:after="0" w:line="240" w:lineRule="auto"/>
              <w:ind w:left="288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Požadujeme licence pro 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sleduj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funkce:</w:t>
            </w:r>
          </w:p>
          <w:p w14:paraId="208F80BA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kompletn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management/GUI a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command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line.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Grafick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rozhran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pro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spr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vu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mus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t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intuitivn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 jednoduše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ovladateln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Preferovan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je řešen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založen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na Java k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ó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du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, vzhledem k jeho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větš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nez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vislosti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na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provozovan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platformě/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operačn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m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syst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</w:t>
            </w:r>
          </w:p>
          <w:p w14:paraId="3C4A119F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snapshpot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– až 64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snapshootů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z jednoho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logick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ho disku</w:t>
            </w:r>
          </w:p>
          <w:p w14:paraId="0092E77E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clone</w:t>
            </w:r>
            <w:proofErr w:type="spellEnd"/>
          </w:p>
          <w:p w14:paraId="1EC78160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thin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provisioning</w:t>
            </w:r>
            <w:proofErr w:type="spellEnd"/>
          </w:p>
          <w:p w14:paraId="66BB06FB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automatick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ý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tiering</w:t>
            </w:r>
            <w:proofErr w:type="spellEnd"/>
          </w:p>
          <w:p w14:paraId="3007BEFD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synchronn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replikace</w:t>
            </w:r>
          </w:p>
          <w:p w14:paraId="3436AC01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asynchronn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í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replikace/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remote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snap</w:t>
            </w:r>
            <w:proofErr w:type="spellEnd"/>
          </w:p>
          <w:p w14:paraId="30716FC4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podpora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multipathing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a Microsoft MPIO DSM</w:t>
            </w:r>
          </w:p>
          <w:p w14:paraId="0AD97E09" w14:textId="77777777" w:rsidR="00F74BD1" w:rsidRPr="00E8627B" w:rsidRDefault="00F74BD1" w:rsidP="00210F90">
            <w:pPr>
              <w:numPr>
                <w:ilvl w:val="1"/>
                <w:numId w:val="17"/>
              </w:num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Podpora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VAAI</w:t>
            </w:r>
          </w:p>
          <w:p w14:paraId="54C4CBDA" w14:textId="77777777" w:rsidR="00F74BD1" w:rsidRPr="00E8627B" w:rsidRDefault="00F74BD1" w:rsidP="00210F90">
            <w:pPr>
              <w:spacing w:after="0" w:line="240" w:lineRule="auto"/>
              <w:ind w:left="288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Vešker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é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licence budou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dod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val="en-US" w:eastAsia="cs-CZ"/>
              </w:rPr>
              <w:t>á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ny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pro požadovanou kapacitu.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CD46F6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8627B" w:rsidRPr="00E8627B" w14:paraId="1A694870" w14:textId="77777777" w:rsidTr="00F74BD1">
        <w:tc>
          <w:tcPr>
            <w:tcW w:w="6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AABEAD" w14:textId="77777777" w:rsidR="00F74BD1" w:rsidRPr="00E8627B" w:rsidRDefault="00F74BD1" w:rsidP="007F692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Podpora produktu na 3 roky v ceně licence.  </w:t>
            </w:r>
          </w:p>
        </w:tc>
        <w:tc>
          <w:tcPr>
            <w:tcW w:w="13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61CFAF" w14:textId="77777777" w:rsidR="00F74BD1" w:rsidRPr="00E8627B" w:rsidRDefault="00F74BD1" w:rsidP="00210F90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</w:tbl>
    <w:p w14:paraId="540CBEB0" w14:textId="77777777" w:rsidR="00210F90" w:rsidRPr="00E8627B" w:rsidRDefault="00210F90" w:rsidP="00210F9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E8627B">
        <w:rPr>
          <w:rFonts w:ascii="Calibri" w:eastAsia="Times New Roman" w:hAnsi="Calibri" w:cs="Times New Roman"/>
          <w:lang w:eastAsia="cs-CZ"/>
        </w:rPr>
        <w:t> </w:t>
      </w:r>
    </w:p>
    <w:p w14:paraId="7040346D" w14:textId="77777777" w:rsidR="00C412A0" w:rsidRPr="00E8627B" w:rsidRDefault="00C412A0" w:rsidP="00210F9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6A28293D" w14:textId="77777777" w:rsidR="00F74BD1" w:rsidRPr="00E8627B" w:rsidRDefault="00F74BD1" w:rsidP="00210F9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E8627B">
        <w:rPr>
          <w:rFonts w:ascii="Calibri" w:eastAsia="Times New Roman" w:hAnsi="Calibri" w:cs="Times New Roman"/>
          <w:lang w:eastAsia="cs-CZ"/>
        </w:rPr>
        <w:t>Infrastrukturní licence: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1425"/>
      </w:tblGrid>
      <w:tr w:rsidR="00E8627B" w:rsidRPr="00E8627B" w14:paraId="19C11B94" w14:textId="77777777" w:rsidTr="00FA2549">
        <w:tc>
          <w:tcPr>
            <w:tcW w:w="6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C2FBE1" w14:textId="77777777" w:rsidR="00F74BD1" w:rsidRPr="00E8627B" w:rsidRDefault="00F74BD1" w:rsidP="00FA2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8627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Požadovaná hodnota</w:t>
            </w:r>
          </w:p>
        </w:tc>
        <w:tc>
          <w:tcPr>
            <w:tcW w:w="1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459DBC" w14:textId="77777777" w:rsidR="00F74BD1" w:rsidRPr="00E8627B" w:rsidRDefault="00F74BD1" w:rsidP="00FA2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8627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Splněno ANO/NE nebo parametry </w:t>
            </w:r>
          </w:p>
        </w:tc>
      </w:tr>
      <w:tr w:rsidR="00E8627B" w:rsidRPr="00E8627B" w14:paraId="5E346686" w14:textId="77777777" w:rsidTr="00FA2549">
        <w:tc>
          <w:tcPr>
            <w:tcW w:w="6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4BADEC" w14:textId="77777777" w:rsidR="00F74BD1" w:rsidRPr="00E8627B" w:rsidRDefault="00F74BD1" w:rsidP="00FA2549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Licence OS pro pokrytí dodávané infrastruktury, plně kompatibilní se stávajícím prostředím (MS Windows Server) umož</w:t>
            </w:r>
            <w:r w:rsidR="008410B8"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ň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ující  provoz neomezeného počtu instancí VM na dodávané infrastruktuře.</w:t>
            </w:r>
          </w:p>
          <w:p w14:paraId="125BF035" w14:textId="77777777" w:rsidR="00F74BD1" w:rsidRPr="00E8627B" w:rsidRDefault="00F74BD1" w:rsidP="00FA2549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1AE0F1" w14:textId="77777777" w:rsidR="00F74BD1" w:rsidRPr="00E8627B" w:rsidRDefault="00F74BD1" w:rsidP="00FA2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8627B" w:rsidRPr="00E8627B" w14:paraId="5162C367" w14:textId="77777777" w:rsidTr="00F74BD1">
        <w:tc>
          <w:tcPr>
            <w:tcW w:w="6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4E0EF4" w14:textId="77777777" w:rsidR="00F74BD1" w:rsidRPr="00E8627B" w:rsidRDefault="00F74BD1" w:rsidP="00FA254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Přístupové licence pro výše uvedený OS v počtu 155 User CAL</w:t>
            </w:r>
          </w:p>
        </w:tc>
        <w:tc>
          <w:tcPr>
            <w:tcW w:w="1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A06C2D" w14:textId="77777777" w:rsidR="00F74BD1" w:rsidRPr="00E8627B" w:rsidRDefault="00F74BD1" w:rsidP="00FA2549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E8627B" w:rsidRPr="00E8627B" w14:paraId="63AAB31E" w14:textId="77777777" w:rsidTr="00F74BD1">
        <w:tc>
          <w:tcPr>
            <w:tcW w:w="6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EF2414" w14:textId="77777777" w:rsidR="00F74BD1" w:rsidRPr="00E8627B" w:rsidRDefault="00F74BD1" w:rsidP="00FA254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Přístupové licence pro výše uvedený OS v počtu 13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Device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CAL</w:t>
            </w:r>
          </w:p>
        </w:tc>
        <w:tc>
          <w:tcPr>
            <w:tcW w:w="1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47EF0D" w14:textId="77777777" w:rsidR="00F74BD1" w:rsidRPr="00E8627B" w:rsidRDefault="00F74BD1" w:rsidP="00FA2549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E8627B" w:rsidRPr="00E8627B" w14:paraId="35A89E56" w14:textId="77777777" w:rsidTr="00F74BD1">
        <w:tc>
          <w:tcPr>
            <w:tcW w:w="6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A6673B" w14:textId="77777777" w:rsidR="00F74BD1" w:rsidRPr="00E8627B" w:rsidRDefault="00F74BD1" w:rsidP="00F74BD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Přístupové licence pro výše uvedený OS umož</w:t>
            </w:r>
            <w:r w:rsidR="008410B8"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ň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ující práci uživatele pomocí terminálového přístupu 20ks</w:t>
            </w:r>
          </w:p>
        </w:tc>
        <w:tc>
          <w:tcPr>
            <w:tcW w:w="1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D31A66" w14:textId="77777777" w:rsidR="00F74BD1" w:rsidRPr="00E8627B" w:rsidRDefault="00F74BD1" w:rsidP="00FA2549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F74BD1" w:rsidRPr="00E8627B" w14:paraId="2B19859F" w14:textId="77777777" w:rsidTr="00F74BD1">
        <w:tc>
          <w:tcPr>
            <w:tcW w:w="6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CF1692" w14:textId="77777777" w:rsidR="00F74BD1" w:rsidRPr="00E8627B" w:rsidRDefault="00103C66" w:rsidP="00FA254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Licence SQL serveru plně kompatibilní s aplikacemi a stávajícím prostředím zadavatele (MS SQL server) pro minimálně 4 </w:t>
            </w:r>
            <w:proofErr w:type="spellStart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Core</w:t>
            </w:r>
            <w:proofErr w:type="spellEnd"/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umož</w:t>
            </w:r>
            <w:r w:rsidR="008410B8"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ň</w:t>
            </w:r>
            <w:r w:rsidRPr="00E8627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ující běh v HA prostředí minimálně 3roky.</w:t>
            </w:r>
          </w:p>
        </w:tc>
        <w:tc>
          <w:tcPr>
            <w:tcW w:w="1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A1A3E6" w14:textId="77777777" w:rsidR="00F74BD1" w:rsidRPr="00E8627B" w:rsidRDefault="00F74BD1" w:rsidP="00FA2549">
            <w:pPr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627B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</w:tbl>
    <w:p w14:paraId="0D280127" w14:textId="77777777" w:rsidR="00F74BD1" w:rsidRPr="00E8627B" w:rsidRDefault="00F74BD1" w:rsidP="00210F9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52C0E738" w14:textId="77777777" w:rsidR="008410B8" w:rsidRPr="00E8627B" w:rsidRDefault="008410B8" w:rsidP="00210F9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E8627B">
        <w:rPr>
          <w:rFonts w:ascii="Calibri" w:eastAsia="Times New Roman" w:hAnsi="Calibri" w:cs="Times New Roman"/>
          <w:lang w:eastAsia="cs-CZ"/>
        </w:rPr>
        <w:t>Implementační práce:</w:t>
      </w:r>
    </w:p>
    <w:p w14:paraId="4D733612" w14:textId="77777777" w:rsidR="008410B8" w:rsidRPr="00E8627B" w:rsidRDefault="005618C4" w:rsidP="00210F9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E8627B">
        <w:rPr>
          <w:rFonts w:ascii="Calibri" w:eastAsia="Times New Roman" w:hAnsi="Calibri" w:cs="Times New Roman"/>
          <w:lang w:eastAsia="cs-CZ"/>
        </w:rPr>
        <w:t>Předpokládáme dodávku následujících implementačních prací avšak ne výhradně. Cílem realizace je vznik bezešvého funkčního celku umož</w:t>
      </w:r>
      <w:r w:rsidR="00167A06" w:rsidRPr="00E8627B">
        <w:rPr>
          <w:rFonts w:ascii="Calibri" w:eastAsia="Times New Roman" w:hAnsi="Calibri" w:cs="Times New Roman"/>
          <w:lang w:eastAsia="cs-CZ"/>
        </w:rPr>
        <w:t>ň</w:t>
      </w:r>
      <w:r w:rsidRPr="00E8627B">
        <w:rPr>
          <w:rFonts w:ascii="Calibri" w:eastAsia="Times New Roman" w:hAnsi="Calibri" w:cs="Times New Roman"/>
          <w:lang w:eastAsia="cs-CZ"/>
        </w:rPr>
        <w:t>ujícího provoz agendových aplikací a dalších IT služeb používaných v prostředí zadavatele.</w:t>
      </w:r>
      <w:r w:rsidR="00167A06" w:rsidRPr="00E8627B">
        <w:rPr>
          <w:rFonts w:ascii="Calibri" w:eastAsia="Times New Roman" w:hAnsi="Calibri" w:cs="Times New Roman"/>
          <w:lang w:eastAsia="cs-CZ"/>
        </w:rPr>
        <w:t xml:space="preserve"> Dále zadavatel upozorňuje, že některé práce, které se dotýkají </w:t>
      </w:r>
      <w:r w:rsidR="00167A06" w:rsidRPr="00E8627B">
        <w:rPr>
          <w:rFonts w:ascii="Calibri" w:eastAsia="Times New Roman" w:hAnsi="Calibri" w:cs="Times New Roman"/>
          <w:lang w:eastAsia="cs-CZ"/>
        </w:rPr>
        <w:lastRenderedPageBreak/>
        <w:t xml:space="preserve">provozu, lze vykonat  pouze po předchozí dohodě a v době mimo pracovní dobu zadavatele tak, aby nedošlo omezení chodu úřadu. </w:t>
      </w:r>
    </w:p>
    <w:p w14:paraId="57EE2B80" w14:textId="77777777" w:rsidR="005618C4" w:rsidRPr="00E8627B" w:rsidRDefault="005618C4" w:rsidP="00210F9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6707BAF8" w14:textId="77777777" w:rsidR="005618C4" w:rsidRPr="00E8627B" w:rsidRDefault="005618C4" w:rsidP="005618C4">
      <w:pPr>
        <w:pStyle w:val="ACOdstavec"/>
        <w:numPr>
          <w:ilvl w:val="0"/>
          <w:numId w:val="21"/>
        </w:numPr>
      </w:pPr>
      <w:r w:rsidRPr="00E8627B">
        <w:t>Základní infrastruktura</w:t>
      </w:r>
    </w:p>
    <w:p w14:paraId="2E9CA465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Fyzická montáž nového HW do rozvaděčů, propojení datové a napájecí</w:t>
      </w:r>
    </w:p>
    <w:p w14:paraId="4A5B8A89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Instalace nových firmware do dodávaných zařízení</w:t>
      </w:r>
    </w:p>
    <w:p w14:paraId="34DE8D6D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 xml:space="preserve">Instalace a konfigurace </w:t>
      </w:r>
      <w:proofErr w:type="spellStart"/>
      <w:r w:rsidRPr="00E8627B">
        <w:t>CoreLAN</w:t>
      </w:r>
      <w:proofErr w:type="spellEnd"/>
      <w:r w:rsidRPr="00E8627B">
        <w:t xml:space="preserve"> </w:t>
      </w:r>
      <w:proofErr w:type="spellStart"/>
      <w:r w:rsidRPr="00E8627B">
        <w:t>switchů</w:t>
      </w:r>
      <w:proofErr w:type="spellEnd"/>
      <w:r w:rsidRPr="00E8627B">
        <w:t>, propojení a vyvázání kabeláže související s </w:t>
      </w:r>
      <w:proofErr w:type="spellStart"/>
      <w:r w:rsidRPr="00E8627B">
        <w:t>CoreLAN</w:t>
      </w:r>
      <w:proofErr w:type="spellEnd"/>
      <w:r w:rsidRPr="00E8627B">
        <w:t xml:space="preserve"> switchi. </w:t>
      </w:r>
    </w:p>
    <w:p w14:paraId="58E45867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Instalace a konfigurace virtualizačního prostředí</w:t>
      </w:r>
    </w:p>
    <w:p w14:paraId="4B203E09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 xml:space="preserve">Instalace a konfigurace softwarově definované </w:t>
      </w:r>
      <w:proofErr w:type="spellStart"/>
      <w:r w:rsidRPr="00E8627B">
        <w:t>storage</w:t>
      </w:r>
      <w:proofErr w:type="spellEnd"/>
      <w:r w:rsidRPr="00E8627B">
        <w:t>, návrh a příprava datových prostorů</w:t>
      </w:r>
    </w:p>
    <w:p w14:paraId="2EF8B836" w14:textId="5B123FCD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Integrace s</w:t>
      </w:r>
      <w:r w:rsidR="00FA2549" w:rsidRPr="00E8627B">
        <w:t>e současnou</w:t>
      </w:r>
      <w:r w:rsidRPr="00E8627B">
        <w:t xml:space="preserve"> UPS a ověření korektního cyklu </w:t>
      </w:r>
      <w:proofErr w:type="spellStart"/>
      <w:r w:rsidRPr="00E8627B">
        <w:t>shutdown</w:t>
      </w:r>
      <w:proofErr w:type="spellEnd"/>
      <w:r w:rsidRPr="00E8627B">
        <w:t>-start</w:t>
      </w:r>
    </w:p>
    <w:p w14:paraId="16BFBA66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Ověření vlastností infrastruktury – trhací testy (server/switch/LAN …)</w:t>
      </w:r>
    </w:p>
    <w:p w14:paraId="545E992B" w14:textId="77777777" w:rsidR="005618C4" w:rsidRPr="00E8627B" w:rsidRDefault="005618C4" w:rsidP="005618C4">
      <w:pPr>
        <w:pStyle w:val="ACOdstavec"/>
        <w:numPr>
          <w:ilvl w:val="0"/>
          <w:numId w:val="21"/>
        </w:numPr>
      </w:pPr>
      <w:r w:rsidRPr="00E8627B">
        <w:t>Příprava a realizace migrace aplikačního prostředí na novou verzi OS:</w:t>
      </w:r>
    </w:p>
    <w:p w14:paraId="4C26F6B7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Příprava šablony OS s nově dodanou licencí W2016</w:t>
      </w:r>
    </w:p>
    <w:p w14:paraId="0DD39A22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 xml:space="preserve">Ověření stavu AD, instalace nových AD DC, připojení do domény </w:t>
      </w:r>
      <w:proofErr w:type="spellStart"/>
      <w:r w:rsidRPr="00E8627B">
        <w:t>Active</w:t>
      </w:r>
      <w:proofErr w:type="spellEnd"/>
      <w:r w:rsidRPr="00E8627B">
        <w:t xml:space="preserve"> </w:t>
      </w:r>
      <w:proofErr w:type="spellStart"/>
      <w:r w:rsidRPr="00E8627B">
        <w:t>Directory</w:t>
      </w:r>
      <w:proofErr w:type="spellEnd"/>
      <w:r w:rsidRPr="00E8627B">
        <w:t xml:space="preserve">, odstranění původních AD DC, povýšení schématu domény na poslední verzi. </w:t>
      </w:r>
    </w:p>
    <w:p w14:paraId="09CCC10E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Příprava VM pro budoucí SQL server, instalace SQL</w:t>
      </w:r>
    </w:p>
    <w:p w14:paraId="0F16DA21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Příprava VM pro aplikační servery, součinnost s dodavateli aplikací pro přenos aplikací na nové VM.</w:t>
      </w:r>
    </w:p>
    <w:p w14:paraId="7ABAE59F" w14:textId="77777777" w:rsidR="005618C4" w:rsidRPr="00E8627B" w:rsidRDefault="005618C4" w:rsidP="005618C4">
      <w:pPr>
        <w:pStyle w:val="ACOdstavec"/>
        <w:numPr>
          <w:ilvl w:val="0"/>
          <w:numId w:val="21"/>
        </w:numPr>
      </w:pPr>
      <w:r w:rsidRPr="00E8627B">
        <w:t>Práce související se zvýšením bezpečnosti a spolehlivosti prostředí:</w:t>
      </w:r>
    </w:p>
    <w:p w14:paraId="6F080975" w14:textId="7666F6D8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 xml:space="preserve">Reinstalace stávajícího </w:t>
      </w:r>
      <w:proofErr w:type="spellStart"/>
      <w:r w:rsidRPr="00E8627B">
        <w:t>backup</w:t>
      </w:r>
      <w:proofErr w:type="spellEnd"/>
      <w:r w:rsidRPr="00E8627B">
        <w:t xml:space="preserve"> serveru, instalace prostředí </w:t>
      </w:r>
      <w:proofErr w:type="spellStart"/>
      <w:r w:rsidRPr="00E8627B">
        <w:t>Veeam</w:t>
      </w:r>
      <w:proofErr w:type="spellEnd"/>
      <w:r w:rsidRPr="00E8627B">
        <w:t xml:space="preserve">, konfigurace zálohování, </w:t>
      </w:r>
      <w:r w:rsidR="00FA2549" w:rsidRPr="00E8627B">
        <w:t xml:space="preserve">příprava </w:t>
      </w:r>
      <w:r w:rsidRPr="00E8627B">
        <w:t>nastavení zálohování do cloud prostředí</w:t>
      </w:r>
      <w:r w:rsidR="00FA2549" w:rsidRPr="00E8627B">
        <w:t xml:space="preserve">  </w:t>
      </w:r>
      <w:proofErr w:type="spellStart"/>
      <w:r w:rsidR="00FA2549" w:rsidRPr="00E8627B">
        <w:t>Veeam</w:t>
      </w:r>
      <w:proofErr w:type="spellEnd"/>
      <w:r w:rsidR="00FA2549" w:rsidRPr="00E8627B">
        <w:t>.</w:t>
      </w:r>
    </w:p>
    <w:p w14:paraId="225FC1B8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Upgrade firmware ve firewallech FG100D</w:t>
      </w:r>
    </w:p>
    <w:p w14:paraId="4E977F31" w14:textId="77777777" w:rsidR="005618C4" w:rsidRPr="00E8627B" w:rsidRDefault="005618C4" w:rsidP="005618C4">
      <w:pPr>
        <w:pStyle w:val="ACOdstavec"/>
        <w:numPr>
          <w:ilvl w:val="0"/>
          <w:numId w:val="21"/>
        </w:numPr>
      </w:pPr>
      <w:r w:rsidRPr="00E8627B">
        <w:t>Obecné práce související s projektem:</w:t>
      </w:r>
    </w:p>
    <w:p w14:paraId="24F7625B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Dokumentace skutečného stavu díla</w:t>
      </w:r>
    </w:p>
    <w:p w14:paraId="4184F195" w14:textId="77777777" w:rsidR="005618C4" w:rsidRPr="00E8627B" w:rsidRDefault="005618C4" w:rsidP="005618C4">
      <w:pPr>
        <w:pStyle w:val="ACOdstavec"/>
        <w:numPr>
          <w:ilvl w:val="0"/>
          <w:numId w:val="21"/>
        </w:numPr>
      </w:pPr>
      <w:r w:rsidRPr="00E8627B">
        <w:t>Práce spojené s vyladěním výkonu klíčového SQL serveru:</w:t>
      </w:r>
    </w:p>
    <w:p w14:paraId="2434C7A2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Analýza zátěže nově instalovaného SQL server po převodu všech aplikací třetích stran na tento server</w:t>
      </w:r>
    </w:p>
    <w:p w14:paraId="17DB57EA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Realizace opatření a doporučení 3 stranám pro úpravu zátěže SQL.</w:t>
      </w:r>
    </w:p>
    <w:p w14:paraId="54C8591D" w14:textId="77777777" w:rsidR="005618C4" w:rsidRPr="00E8627B" w:rsidRDefault="005618C4" w:rsidP="005618C4">
      <w:pPr>
        <w:pStyle w:val="ACOdstavec"/>
        <w:numPr>
          <w:ilvl w:val="0"/>
          <w:numId w:val="21"/>
        </w:numPr>
      </w:pPr>
      <w:r w:rsidRPr="00E8627B">
        <w:t>Zaškolení:</w:t>
      </w:r>
    </w:p>
    <w:p w14:paraId="250F94B7" w14:textId="77777777" w:rsidR="005618C4" w:rsidRPr="00E8627B" w:rsidRDefault="005618C4" w:rsidP="005618C4">
      <w:pPr>
        <w:pStyle w:val="ACOdstavec"/>
        <w:numPr>
          <w:ilvl w:val="1"/>
          <w:numId w:val="21"/>
        </w:numPr>
      </w:pPr>
      <w:r w:rsidRPr="00E8627B">
        <w:t>Zaškolení pracovníků zadavatele na používání a monitoring nově dodaných technologií v předpokládaném rozsahu 8 hodin.</w:t>
      </w:r>
    </w:p>
    <w:p w14:paraId="61C8E886" w14:textId="77777777" w:rsidR="005618C4" w:rsidRPr="00E8627B" w:rsidRDefault="005618C4" w:rsidP="005618C4">
      <w:pPr>
        <w:pStyle w:val="ACOdstavec"/>
      </w:pPr>
    </w:p>
    <w:p w14:paraId="738D57C9" w14:textId="77777777" w:rsidR="005618C4" w:rsidRPr="00E8627B" w:rsidRDefault="005618C4" w:rsidP="00210F9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sectPr w:rsidR="005618C4" w:rsidRPr="00E8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E2B2C" w14:textId="77777777" w:rsidR="007D2727" w:rsidRDefault="007D2727" w:rsidP="00EA013D">
      <w:pPr>
        <w:spacing w:after="0" w:line="240" w:lineRule="auto"/>
      </w:pPr>
      <w:r>
        <w:separator/>
      </w:r>
    </w:p>
  </w:endnote>
  <w:endnote w:type="continuationSeparator" w:id="0">
    <w:p w14:paraId="653F0E7E" w14:textId="77777777" w:rsidR="007D2727" w:rsidRDefault="007D2727" w:rsidP="00EA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D1D1E" w14:textId="77777777" w:rsidR="007D2727" w:rsidRDefault="007D2727" w:rsidP="00EA013D">
      <w:pPr>
        <w:spacing w:after="0" w:line="240" w:lineRule="auto"/>
      </w:pPr>
      <w:r>
        <w:separator/>
      </w:r>
    </w:p>
  </w:footnote>
  <w:footnote w:type="continuationSeparator" w:id="0">
    <w:p w14:paraId="776060C1" w14:textId="77777777" w:rsidR="007D2727" w:rsidRDefault="007D2727" w:rsidP="00EA0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6FBC"/>
    <w:multiLevelType w:val="multilevel"/>
    <w:tmpl w:val="8FCE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0FB3"/>
    <w:multiLevelType w:val="multilevel"/>
    <w:tmpl w:val="02B8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62BD8"/>
    <w:multiLevelType w:val="multilevel"/>
    <w:tmpl w:val="81EE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73A01"/>
    <w:multiLevelType w:val="multilevel"/>
    <w:tmpl w:val="F96A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D182B"/>
    <w:multiLevelType w:val="multilevel"/>
    <w:tmpl w:val="D8D4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17E57"/>
    <w:multiLevelType w:val="multilevel"/>
    <w:tmpl w:val="3FC0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065BB"/>
    <w:multiLevelType w:val="multilevel"/>
    <w:tmpl w:val="257A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8514F"/>
    <w:multiLevelType w:val="multilevel"/>
    <w:tmpl w:val="06AE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36D7D"/>
    <w:multiLevelType w:val="multilevel"/>
    <w:tmpl w:val="6C36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46E05"/>
    <w:multiLevelType w:val="multilevel"/>
    <w:tmpl w:val="2A00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97772"/>
    <w:multiLevelType w:val="multilevel"/>
    <w:tmpl w:val="51C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B43D9"/>
    <w:multiLevelType w:val="multilevel"/>
    <w:tmpl w:val="4B94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B5463"/>
    <w:multiLevelType w:val="multilevel"/>
    <w:tmpl w:val="51EC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00D6B"/>
    <w:multiLevelType w:val="multilevel"/>
    <w:tmpl w:val="0128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E1B28"/>
    <w:multiLevelType w:val="multilevel"/>
    <w:tmpl w:val="F5C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74D31"/>
    <w:multiLevelType w:val="multilevel"/>
    <w:tmpl w:val="E340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13211"/>
    <w:multiLevelType w:val="hybridMultilevel"/>
    <w:tmpl w:val="C928B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D73E6"/>
    <w:multiLevelType w:val="multilevel"/>
    <w:tmpl w:val="438A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1A359D"/>
    <w:multiLevelType w:val="multilevel"/>
    <w:tmpl w:val="EF3C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0D570A"/>
    <w:multiLevelType w:val="multilevel"/>
    <w:tmpl w:val="EB58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2337A"/>
    <w:multiLevelType w:val="multilevel"/>
    <w:tmpl w:val="F4C0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1">
      <w:startOverride w:val="1"/>
    </w:lvlOverride>
  </w:num>
  <w:num w:numId="2">
    <w:abstractNumId w:val="6"/>
    <w:lvlOverride w:ilvl="1">
      <w:startOverride w:val="2"/>
    </w:lvlOverride>
  </w:num>
  <w:num w:numId="3">
    <w:abstractNumId w:val="17"/>
    <w:lvlOverride w:ilvl="1">
      <w:startOverride w:val="3"/>
    </w:lvlOverride>
  </w:num>
  <w:num w:numId="4">
    <w:abstractNumId w:val="4"/>
    <w:lvlOverride w:ilvl="1">
      <w:startOverride w:val="4"/>
    </w:lvlOverride>
  </w:num>
  <w:num w:numId="5">
    <w:abstractNumId w:val="5"/>
    <w:lvlOverride w:ilvl="1">
      <w:startOverride w:val="5"/>
    </w:lvlOverride>
  </w:num>
  <w:num w:numId="6">
    <w:abstractNumId w:val="19"/>
    <w:lvlOverride w:ilvl="1">
      <w:startOverride w:val="6"/>
    </w:lvlOverride>
  </w:num>
  <w:num w:numId="7">
    <w:abstractNumId w:val="8"/>
    <w:lvlOverride w:ilvl="1">
      <w:startOverride w:val="7"/>
    </w:lvlOverride>
  </w:num>
  <w:num w:numId="8">
    <w:abstractNumId w:val="3"/>
    <w:lvlOverride w:ilvl="1">
      <w:startOverride w:val="8"/>
    </w:lvlOverride>
  </w:num>
  <w:num w:numId="9">
    <w:abstractNumId w:val="1"/>
    <w:lvlOverride w:ilvl="1">
      <w:startOverride w:val="9"/>
    </w:lvlOverride>
  </w:num>
  <w:num w:numId="10">
    <w:abstractNumId w:val="7"/>
    <w:lvlOverride w:ilvl="1">
      <w:startOverride w:val="10"/>
    </w:lvlOverride>
  </w:num>
  <w:num w:numId="11">
    <w:abstractNumId w:val="10"/>
    <w:lvlOverride w:ilvl="1">
      <w:startOverride w:val="11"/>
    </w:lvlOverride>
  </w:num>
  <w:num w:numId="12">
    <w:abstractNumId w:val="13"/>
    <w:lvlOverride w:ilvl="1">
      <w:startOverride w:val="12"/>
    </w:lvlOverride>
  </w:num>
  <w:num w:numId="13">
    <w:abstractNumId w:val="20"/>
    <w:lvlOverride w:ilvl="1">
      <w:startOverride w:val="13"/>
    </w:lvlOverride>
  </w:num>
  <w:num w:numId="14">
    <w:abstractNumId w:val="0"/>
    <w:lvlOverride w:ilvl="1">
      <w:startOverride w:val="14"/>
    </w:lvlOverride>
  </w:num>
  <w:num w:numId="15">
    <w:abstractNumId w:val="18"/>
    <w:lvlOverride w:ilvl="1">
      <w:startOverride w:val="15"/>
    </w:lvlOverride>
  </w:num>
  <w:num w:numId="16">
    <w:abstractNumId w:val="14"/>
    <w:lvlOverride w:ilvl="1">
      <w:startOverride w:val="16"/>
    </w:lvlOverride>
  </w:num>
  <w:num w:numId="17">
    <w:abstractNumId w:val="11"/>
  </w:num>
  <w:num w:numId="18">
    <w:abstractNumId w:val="12"/>
  </w:num>
  <w:num w:numId="19">
    <w:abstractNumId w:val="15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B0"/>
    <w:rsid w:val="00050074"/>
    <w:rsid w:val="00094D50"/>
    <w:rsid w:val="00103C66"/>
    <w:rsid w:val="00167A06"/>
    <w:rsid w:val="001E60DA"/>
    <w:rsid w:val="00210F90"/>
    <w:rsid w:val="002408EB"/>
    <w:rsid w:val="00282E7E"/>
    <w:rsid w:val="003426FD"/>
    <w:rsid w:val="003536C4"/>
    <w:rsid w:val="003A5AD7"/>
    <w:rsid w:val="004042C3"/>
    <w:rsid w:val="004508B0"/>
    <w:rsid w:val="005618C4"/>
    <w:rsid w:val="006850D2"/>
    <w:rsid w:val="006A4F8C"/>
    <w:rsid w:val="00711AE5"/>
    <w:rsid w:val="007D2727"/>
    <w:rsid w:val="007F214D"/>
    <w:rsid w:val="007F6922"/>
    <w:rsid w:val="008410B8"/>
    <w:rsid w:val="008642AE"/>
    <w:rsid w:val="00882E1D"/>
    <w:rsid w:val="008D592D"/>
    <w:rsid w:val="0098176F"/>
    <w:rsid w:val="009E716F"/>
    <w:rsid w:val="00A63614"/>
    <w:rsid w:val="00BA392C"/>
    <w:rsid w:val="00C412A0"/>
    <w:rsid w:val="00CA10A7"/>
    <w:rsid w:val="00D23F4C"/>
    <w:rsid w:val="00DB4398"/>
    <w:rsid w:val="00DC083E"/>
    <w:rsid w:val="00E8627B"/>
    <w:rsid w:val="00EA013D"/>
    <w:rsid w:val="00F74BD1"/>
    <w:rsid w:val="00F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9EEA"/>
  <w15:chartTrackingRefBased/>
  <w15:docId w15:val="{52ED2617-9736-49D1-BB2D-DB4996C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508B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A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13D"/>
  </w:style>
  <w:style w:type="paragraph" w:styleId="Zpat">
    <w:name w:val="footer"/>
    <w:basedOn w:val="Normln"/>
    <w:link w:val="ZpatChar"/>
    <w:uiPriority w:val="99"/>
    <w:unhideWhenUsed/>
    <w:rsid w:val="00EA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13D"/>
  </w:style>
  <w:style w:type="paragraph" w:customStyle="1" w:styleId="ACOdstavec">
    <w:name w:val="AC Odstavec"/>
    <w:basedOn w:val="Normln"/>
    <w:qFormat/>
    <w:rsid w:val="005618C4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36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6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6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36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36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2186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Zapadlo Petr</dc:creator>
  <cp:keywords/>
  <dc:description/>
  <cp:lastModifiedBy>Kateřina Koláčková</cp:lastModifiedBy>
  <cp:revision>2</cp:revision>
  <dcterms:created xsi:type="dcterms:W3CDTF">2018-07-10T07:09:00Z</dcterms:created>
  <dcterms:modified xsi:type="dcterms:W3CDTF">2018-07-10T07:09:00Z</dcterms:modified>
</cp:coreProperties>
</file>