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51F2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NÁRODNÍ PLÁN OBNOVY</w:t>
      </w:r>
    </w:p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5C2B115B" w14:textId="77777777" w:rsidR="00F4279D" w:rsidRPr="00A45AB8" w:rsidRDefault="00F4279D" w:rsidP="00F4279D">
      <w:pPr>
        <w:rPr>
          <w:rFonts w:cstheme="minorHAnsi"/>
        </w:rPr>
      </w:pPr>
    </w:p>
    <w:p w14:paraId="7B45C518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OBECNÁ PRAVIDLA</w:t>
      </w:r>
    </w:p>
    <w:p w14:paraId="3EA71F48" w14:textId="77777777" w:rsidR="00F4279D" w:rsidRPr="00A45AB8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hAnsiTheme="minorHAnsi" w:cstheme="minorHAnsi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PRO ŽADATELE A PŘÍJEMCE</w:t>
      </w:r>
    </w:p>
    <w:p w14:paraId="2C67E6D9" w14:textId="77777777" w:rsidR="00F4279D" w:rsidRPr="00A45AB8" w:rsidRDefault="00F4279D" w:rsidP="00F4279D">
      <w:pPr>
        <w:rPr>
          <w:rFonts w:cstheme="minorHAnsi"/>
        </w:rPr>
      </w:pPr>
      <w:bookmarkStart w:id="0" w:name="_Hlk93072247"/>
    </w:p>
    <w:p w14:paraId="290FD692" w14:textId="77777777" w:rsidR="00F4279D" w:rsidRDefault="00F4279D" w:rsidP="00F4279D">
      <w:pPr>
        <w:rPr>
          <w:rFonts w:cstheme="minorHAnsi"/>
        </w:rPr>
      </w:pPr>
    </w:p>
    <w:p w14:paraId="5FA75A4E" w14:textId="77777777" w:rsidR="00F4279D" w:rsidRPr="00A45AB8" w:rsidRDefault="00F4279D" w:rsidP="00F4279D">
      <w:pPr>
        <w:rPr>
          <w:rFonts w:cstheme="minorHAnsi"/>
        </w:rPr>
      </w:pPr>
    </w:p>
    <w:bookmarkEnd w:id="0"/>
    <w:p w14:paraId="3240562D" w14:textId="77777777" w:rsidR="00F4279D" w:rsidRPr="00FF5F15" w:rsidRDefault="00F4279D" w:rsidP="00F4279D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A45AB8">
        <w:rPr>
          <w:rFonts w:asciiTheme="minorHAnsi" w:hAnsiTheme="minorHAnsi" w:cstheme="minorHAnsi"/>
          <w:caps/>
          <w:sz w:val="40"/>
          <w:szCs w:val="40"/>
        </w:rPr>
        <w:t xml:space="preserve">PŘÍLOHA </w:t>
      </w:r>
      <w:r w:rsidRPr="001E7973">
        <w:rPr>
          <w:rFonts w:asciiTheme="minorHAnsi" w:hAnsiTheme="minorHAnsi" w:cstheme="minorHAnsi"/>
          <w:caps/>
          <w:sz w:val="40"/>
          <w:szCs w:val="40"/>
        </w:rPr>
        <w:t xml:space="preserve">Č. </w:t>
      </w:r>
      <w:r>
        <w:rPr>
          <w:rFonts w:asciiTheme="minorHAnsi" w:hAnsiTheme="minorHAnsi" w:cstheme="minorHAnsi"/>
          <w:caps/>
          <w:sz w:val="40"/>
          <w:szCs w:val="40"/>
        </w:rPr>
        <w:t>19</w:t>
      </w:r>
    </w:p>
    <w:p w14:paraId="6936CF24" w14:textId="77777777" w:rsidR="00F4279D" w:rsidRDefault="00F4279D" w:rsidP="00F4279D">
      <w:pPr>
        <w:pStyle w:val="vodka"/>
        <w:jc w:val="left"/>
        <w:rPr>
          <w:rFonts w:asciiTheme="minorHAnsi" w:eastAsia="Times New Roman" w:hAnsiTheme="minorHAnsi" w:cstheme="minorHAnsi"/>
          <w:caps w:val="0"/>
          <w:color w:val="auto"/>
          <w:sz w:val="60"/>
          <w:lang w:eastAsia="cs-CZ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8078198" w14:textId="2BFF172E" w:rsidR="00AD47E7" w:rsidRPr="00147466" w:rsidRDefault="00AD47E7" w:rsidP="00AD47E7">
      <w:pPr>
        <w:spacing w:before="387" w:line="252" w:lineRule="auto"/>
        <w:ind w:left="102"/>
        <w:jc w:val="both"/>
        <w:rPr>
          <w:rFonts w:eastAsiaTheme="minorEastAsia" w:cstheme="minorHAnsi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VYDÁNÍ </w:t>
      </w:r>
      <w:r w:rsidR="004C3703">
        <w:rPr>
          <w:rFonts w:eastAsiaTheme="minorEastAsia" w:cstheme="minorHAnsi"/>
          <w:color w:val="A6A6A6"/>
          <w:sz w:val="32"/>
        </w:rPr>
        <w:t>2</w:t>
      </w:r>
      <w:r w:rsidRPr="00147466">
        <w:rPr>
          <w:rFonts w:eastAsiaTheme="minorEastAsia" w:cstheme="minorHAnsi"/>
          <w:color w:val="A6A6A6"/>
          <w:sz w:val="32"/>
        </w:rPr>
        <w:t xml:space="preserve">.0  </w:t>
      </w:r>
      <w:r w:rsidRPr="00147466">
        <w:rPr>
          <w:rFonts w:eastAsiaTheme="minorEastAsia" w:cstheme="minorHAnsi"/>
          <w:color w:val="A6A6A6"/>
          <w:sz w:val="32"/>
        </w:rPr>
        <w:tab/>
        <w:t xml:space="preserve">   </w:t>
      </w:r>
    </w:p>
    <w:p w14:paraId="33038D0B" w14:textId="05174941" w:rsidR="007E67C7" w:rsidRDefault="00AD47E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PLATNOST OD </w:t>
      </w:r>
      <w:r w:rsidR="003D7FBD">
        <w:rPr>
          <w:rFonts w:eastAsiaTheme="minorEastAsia" w:cstheme="minorHAnsi"/>
          <w:color w:val="A6A6A6"/>
          <w:sz w:val="32"/>
        </w:rPr>
        <w:t>10</w:t>
      </w:r>
      <w:r w:rsidR="00E73CC8">
        <w:rPr>
          <w:rFonts w:eastAsiaTheme="minorEastAsia" w:cstheme="minorHAnsi"/>
          <w:color w:val="A6A6A6"/>
          <w:sz w:val="32"/>
        </w:rPr>
        <w:t>.10.2023</w:t>
      </w: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tbl>
      <w:tblPr>
        <w:tblStyle w:val="TableNormal"/>
        <w:tblpPr w:leftFromText="141" w:rightFromText="141" w:vertAnchor="page" w:horzAnchor="margin" w:tblpY="18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1336"/>
        <w:gridCol w:w="1324"/>
        <w:gridCol w:w="2336"/>
        <w:gridCol w:w="1782"/>
        <w:gridCol w:w="1472"/>
      </w:tblGrid>
      <w:tr w:rsidR="007E67C7" w:rsidRPr="00223CFF" w14:paraId="31F9E165" w14:textId="77777777" w:rsidTr="007E67C7">
        <w:trPr>
          <w:trHeight w:val="642"/>
        </w:trPr>
        <w:tc>
          <w:tcPr>
            <w:tcW w:w="520" w:type="pct"/>
          </w:tcPr>
          <w:p w14:paraId="0270E4D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Revize č.</w:t>
            </w:r>
          </w:p>
        </w:tc>
        <w:tc>
          <w:tcPr>
            <w:tcW w:w="809" w:type="pct"/>
          </w:tcPr>
          <w:p w14:paraId="4007FC5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Kapitola</w:t>
            </w:r>
          </w:p>
        </w:tc>
        <w:tc>
          <w:tcPr>
            <w:tcW w:w="754" w:type="pct"/>
          </w:tcPr>
          <w:p w14:paraId="0D68BFEC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Strana</w:t>
            </w:r>
          </w:p>
        </w:tc>
        <w:tc>
          <w:tcPr>
            <w:tcW w:w="930" w:type="pct"/>
          </w:tcPr>
          <w:p w14:paraId="06978632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Předmět revize</w:t>
            </w:r>
          </w:p>
        </w:tc>
        <w:tc>
          <w:tcPr>
            <w:tcW w:w="1092" w:type="pct"/>
          </w:tcPr>
          <w:p w14:paraId="7E03EE3F" w14:textId="77777777" w:rsidR="007E67C7" w:rsidRPr="0012015A" w:rsidRDefault="007E67C7" w:rsidP="007E67C7">
            <w:pPr>
              <w:pStyle w:val="TableParagraph"/>
              <w:ind w:left="105" w:right="58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Zdůvodnění revize</w:t>
            </w:r>
          </w:p>
        </w:tc>
        <w:tc>
          <w:tcPr>
            <w:tcW w:w="895" w:type="pct"/>
          </w:tcPr>
          <w:p w14:paraId="77D7EF07" w14:textId="77777777" w:rsidR="007E67C7" w:rsidRPr="0012015A" w:rsidRDefault="007E67C7" w:rsidP="007E67C7">
            <w:pPr>
              <w:pStyle w:val="TableParagraph"/>
              <w:ind w:left="100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Datum platnosti revize</w:t>
            </w:r>
          </w:p>
        </w:tc>
      </w:tr>
      <w:tr w:rsidR="007E67C7" w:rsidRPr="00223CFF" w14:paraId="70358F9A" w14:textId="77777777" w:rsidTr="007E67C7">
        <w:trPr>
          <w:trHeight w:val="699"/>
        </w:trPr>
        <w:tc>
          <w:tcPr>
            <w:tcW w:w="520" w:type="pct"/>
          </w:tcPr>
          <w:p w14:paraId="5A48B149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1</w:t>
            </w:r>
          </w:p>
          <w:p w14:paraId="31C6364E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09" w:type="pct"/>
          </w:tcPr>
          <w:p w14:paraId="1C1E20AF" w14:textId="77777777" w:rsidR="007E67C7" w:rsidRPr="00DA01B9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DA01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54" w:type="pct"/>
          </w:tcPr>
          <w:p w14:paraId="4AD8A4F4" w14:textId="77777777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-</w:t>
            </w:r>
          </w:p>
        </w:tc>
        <w:tc>
          <w:tcPr>
            <w:tcW w:w="930" w:type="pct"/>
          </w:tcPr>
          <w:p w14:paraId="616ED833" w14:textId="0355D068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Vložení verze 2.0</w:t>
            </w:r>
            <w:r>
              <w:t xml:space="preserve"> </w:t>
            </w:r>
            <w:r w:rsidRPr="007E67C7">
              <w:rPr>
                <w:rFonts w:asciiTheme="minorHAnsi" w:hAnsiTheme="minorHAnsi" w:cstheme="minorHAnsi"/>
              </w:rPr>
              <w:t>POTVRZENÍ O SPLNĚNÍ POŽADAVKŮ/PODMÍNEK DNSH</w:t>
            </w:r>
            <w:r w:rsidRPr="0012015A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092" w:type="pct"/>
          </w:tcPr>
          <w:p w14:paraId="74691589" w14:textId="77777777" w:rsidR="007E67C7" w:rsidRPr="0012015A" w:rsidRDefault="007E67C7" w:rsidP="007E67C7">
            <w:pPr>
              <w:pStyle w:val="TableParagraph"/>
              <w:spacing w:line="261" w:lineRule="exact"/>
              <w:ind w:left="105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Z důvodu aktualizace požadavků je nahrána nová verze dokumentu.</w:t>
            </w:r>
          </w:p>
        </w:tc>
        <w:tc>
          <w:tcPr>
            <w:tcW w:w="895" w:type="pct"/>
          </w:tcPr>
          <w:p w14:paraId="7E6C1004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  <w:r w:rsidRPr="0002440D">
              <w:rPr>
                <w:rFonts w:asciiTheme="minorHAnsi" w:hAnsiTheme="minorHAnsi" w:cstheme="minorHAnsi"/>
              </w:rPr>
              <w:t>27.9. 2023</w:t>
            </w:r>
          </w:p>
          <w:p w14:paraId="12AF7559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do NPO by nemělo vést k významnému poškozování environmentálních cílů, tzv. zásada „do no significant harm“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řeší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Pořizované vybavení využívající vodu musí mít optimalizovanou spotřebu vody, dvě nejvyšší hodnocení EU Water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1" w:name="_Hlk107329810"/>
          </w:p>
        </w:tc>
      </w:tr>
      <w:bookmarkEnd w:id="1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(Programme for the Endorsement of Forest Certification Schemes) nebo FSC (Forest Stewardship Council)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 + Pokud bylo provedeno, doloží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  <w:gridSpan w:val="2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2440D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headerReference w:type="default" r:id="rId8"/>
      <w:footerReference w:type="default" r:id="rId9"/>
      <w:headerReference w:type="first" r:id="rId10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62A9" w14:textId="77777777" w:rsidR="00F76551" w:rsidRDefault="00F76551" w:rsidP="00CF3CE7">
      <w:pPr>
        <w:spacing w:after="0" w:line="240" w:lineRule="auto"/>
      </w:pPr>
      <w:r>
        <w:separator/>
      </w:r>
    </w:p>
  </w:endnote>
  <w:endnote w:type="continuationSeparator" w:id="0">
    <w:p w14:paraId="5A3FDC2A" w14:textId="77777777" w:rsidR="00F76551" w:rsidRDefault="00F76551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90E" w14:textId="77777777" w:rsidR="00F76551" w:rsidRDefault="00F76551" w:rsidP="00CF3CE7">
      <w:pPr>
        <w:spacing w:after="0" w:line="240" w:lineRule="auto"/>
      </w:pPr>
      <w:r>
        <w:separator/>
      </w:r>
    </w:p>
  </w:footnote>
  <w:footnote w:type="continuationSeparator" w:id="0">
    <w:p w14:paraId="599B4923" w14:textId="77777777" w:rsidR="00F76551" w:rsidRDefault="00F76551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doloží,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7509" w14:textId="71BD56BB" w:rsidR="00373E66" w:rsidRDefault="004D2C88" w:rsidP="00373E66">
    <w:pPr>
      <w:pStyle w:val="Zhlav"/>
    </w:pPr>
    <w:r>
      <w:rPr>
        <w:noProof/>
      </w:rPr>
      <w:drawing>
        <wp:inline distT="0" distB="0" distL="0" distR="0" wp14:anchorId="25EFCCAC" wp14:editId="7B8B9CDA">
          <wp:extent cx="5759450" cy="83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900D" w14:textId="4FB1F6D2" w:rsidR="000C5F0E" w:rsidRDefault="004D2C88" w:rsidP="000C5F0E">
    <w:pPr>
      <w:pStyle w:val="Zhlav"/>
      <w:ind w:left="-567"/>
    </w:pPr>
    <w:r>
      <w:rPr>
        <w:noProof/>
      </w:rPr>
      <w:drawing>
        <wp:inline distT="0" distB="0" distL="0" distR="0" wp14:anchorId="0F1C2923" wp14:editId="4662D505">
          <wp:extent cx="5759450" cy="8380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440D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558D1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33BC"/>
    <w:rsid w:val="005133BE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086D"/>
    <w:rsid w:val="00853CAB"/>
    <w:rsid w:val="00866F0E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17F18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Lenka Vondráčková</cp:lastModifiedBy>
  <cp:revision>4</cp:revision>
  <cp:lastPrinted>2022-06-29T07:31:00Z</cp:lastPrinted>
  <dcterms:created xsi:type="dcterms:W3CDTF">2025-04-17T19:14:00Z</dcterms:created>
  <dcterms:modified xsi:type="dcterms:W3CDTF">2025-04-17T19:15:00Z</dcterms:modified>
</cp:coreProperties>
</file>