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C078D1">
        <w:rPr>
          <w:rFonts w:ascii="Arial" w:hAnsi="Arial" w:cs="Arial"/>
          <w:sz w:val="18"/>
          <w:szCs w:val="20"/>
        </w:rPr>
        <w:t>4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C078D1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E1761C">
        <w:rPr>
          <w:rFonts w:ascii="Arial" w:hAnsi="Arial" w:cs="Arial"/>
          <w:sz w:val="18"/>
          <w:szCs w:val="20"/>
        </w:rPr>
        <w:t>7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8616D">
        <w:rPr>
          <w:rFonts w:ascii="Arial" w:hAnsi="Arial" w:cs="Arial"/>
          <w:b/>
          <w:sz w:val="20"/>
          <w:u w:val="single"/>
        </w:rPr>
        <w:t xml:space="preserve"> zadávací dokumentace dle </w:t>
      </w:r>
      <w:r w:rsidR="00C078D1">
        <w:rPr>
          <w:rFonts w:ascii="Arial" w:hAnsi="Arial" w:cs="Arial"/>
          <w:b/>
          <w:sz w:val="20"/>
          <w:u w:val="single"/>
        </w:rPr>
        <w:t xml:space="preserve">čl. 7.3.3 </w:t>
      </w:r>
      <w:r w:rsidR="00C078D1" w:rsidRPr="00C078D1">
        <w:rPr>
          <w:rFonts w:ascii="Arial" w:hAnsi="Arial" w:cs="Arial"/>
          <w:b/>
          <w:sz w:val="20"/>
          <w:u w:val="single"/>
        </w:rPr>
        <w:t>Metodického pokynu pro oblast zadávání zakázek pro programové období 2014 – 2020 vydaného Ministerstvem pro místní rozvoj (dále jen „Pravidla“)</w:t>
      </w:r>
      <w:r w:rsidR="00C078D1">
        <w:rPr>
          <w:rFonts w:ascii="Arial" w:hAnsi="Arial" w:cs="Arial"/>
          <w:b/>
          <w:sz w:val="20"/>
          <w:u w:val="single"/>
        </w:rPr>
        <w:t xml:space="preserve"> a přiměřeně dle </w:t>
      </w:r>
      <w:r w:rsidR="00C8616D">
        <w:rPr>
          <w:rFonts w:ascii="Arial" w:hAnsi="Arial" w:cs="Arial"/>
          <w:b/>
          <w:sz w:val="20"/>
          <w:u w:val="single"/>
        </w:rPr>
        <w:t>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8616D">
        <w:rPr>
          <w:rFonts w:ascii="Arial" w:hAnsi="Arial" w:cs="Arial"/>
          <w:b/>
          <w:sz w:val="20"/>
          <w:u w:val="single"/>
        </w:rPr>
        <w:t xml:space="preserve"> zákona o zadávání veřejných zakázek u </w:t>
      </w:r>
      <w:r w:rsidR="00C078D1">
        <w:rPr>
          <w:rFonts w:ascii="Arial" w:hAnsi="Arial" w:cs="Arial"/>
          <w:b/>
          <w:sz w:val="20"/>
          <w:u w:val="single"/>
        </w:rPr>
        <w:t>výběrového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C078D1">
        <w:rPr>
          <w:rFonts w:ascii="Arial" w:hAnsi="Arial" w:cs="Arial"/>
          <w:b/>
          <w:sz w:val="20"/>
          <w:u w:val="single"/>
        </w:rPr>
        <w:t xml:space="preserve">malého rozsahu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C078D1">
        <w:rPr>
          <w:rFonts w:ascii="Arial" w:hAnsi="Arial" w:cs="Arial"/>
          <w:b/>
          <w:sz w:val="20"/>
          <w:u w:val="single"/>
        </w:rPr>
        <w:t>dodávky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C078D1" w:rsidRPr="00C078D1">
        <w:rPr>
          <w:rFonts w:ascii="Arial" w:hAnsi="Arial" w:cs="Arial"/>
          <w:b/>
          <w:bCs/>
          <w:sz w:val="20"/>
          <w:szCs w:val="20"/>
          <w:u w:val="single"/>
        </w:rPr>
        <w:t>„V 00193B – Zvýšení kapacity mateřské školy ve Veverských Knínicích – dodávka vybavení“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424C00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577B51" w:rsidRPr="00577B51">
        <w:rPr>
          <w:rFonts w:ascii="Arial" w:hAnsi="Arial" w:cs="Arial"/>
          <w:b/>
          <w:sz w:val="20"/>
          <w:szCs w:val="20"/>
        </w:rPr>
        <w:t>Obec Veverské Knínice</w:t>
      </w:r>
      <w:r w:rsidR="00577B51" w:rsidRPr="00577B51">
        <w:rPr>
          <w:rFonts w:ascii="Arial" w:hAnsi="Arial" w:cs="Arial"/>
          <w:sz w:val="20"/>
          <w:szCs w:val="20"/>
        </w:rPr>
        <w:t>, Veverské Knínice 26, 664 81 Ostrovačice, IČ</w:t>
      </w:r>
      <w:r w:rsidR="00577B51">
        <w:rPr>
          <w:rFonts w:ascii="Arial" w:hAnsi="Arial" w:cs="Arial"/>
          <w:sz w:val="20"/>
          <w:szCs w:val="20"/>
        </w:rPr>
        <w:t>O</w:t>
      </w:r>
      <w:r w:rsidR="00577B51" w:rsidRPr="00577B51">
        <w:rPr>
          <w:rFonts w:ascii="Arial" w:hAnsi="Arial" w:cs="Arial"/>
          <w:sz w:val="20"/>
          <w:szCs w:val="20"/>
        </w:rPr>
        <w:t xml:space="preserve">: 00378640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078D1" w:rsidRPr="00C078D1">
        <w:rPr>
          <w:rFonts w:ascii="Arial" w:eastAsia="Times New Roman" w:hAnsi="Arial" w:cs="Arial"/>
          <w:sz w:val="20"/>
          <w:szCs w:val="20"/>
          <w:lang w:eastAsia="cs-CZ"/>
        </w:rPr>
        <w:t xml:space="preserve">dle čl. 7.3.3 Metodického pokynu pro oblast zadávání zakázek pro programové období 2014 – 2020 vydaného Ministerstvem pro místní rozvoj (dále jen „Pravidla“) a přiměřeně dle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577B5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C078D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výběrovému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C078D1">
        <w:rPr>
          <w:rFonts w:ascii="Arial" w:hAnsi="Arial" w:cs="Arial"/>
          <w:b/>
          <w:sz w:val="20"/>
          <w:u w:val="single"/>
        </w:rPr>
        <w:t xml:space="preserve">u veřejné zakázky malého rozsahu na dodávky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C078D1" w:rsidRPr="00C078D1">
        <w:rPr>
          <w:rFonts w:ascii="Arial" w:hAnsi="Arial" w:cs="Arial"/>
          <w:b/>
          <w:bCs/>
          <w:sz w:val="20"/>
          <w:szCs w:val="20"/>
          <w:u w:val="single"/>
        </w:rPr>
        <w:t>„V 00193B – Zvýšení kapacity mateřské školy ve Veverských Knínicích – dodávka vybavení“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r w:rsidR="00C078D1">
        <w:rPr>
          <w:rFonts w:ascii="Arial" w:hAnsi="Arial" w:cs="Arial"/>
          <w:sz w:val="20"/>
          <w:szCs w:val="20"/>
        </w:rPr>
        <w:t>v otevřené výzvě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 xml:space="preserve">dle </w:t>
      </w:r>
      <w:r w:rsidR="00C078D1">
        <w:rPr>
          <w:rFonts w:ascii="Arial" w:hAnsi="Arial" w:cs="Arial"/>
          <w:sz w:val="20"/>
          <w:szCs w:val="20"/>
        </w:rPr>
        <w:t>čl. 7.1.1 písm. a) Pravidel</w:t>
      </w:r>
      <w:r w:rsidR="00537CAE" w:rsidRPr="00424C00">
        <w:rPr>
          <w:rFonts w:ascii="Arial" w:hAnsi="Arial" w:cs="Arial"/>
          <w:sz w:val="20"/>
        </w:rPr>
        <w:t xml:space="preserve">. </w:t>
      </w:r>
    </w:p>
    <w:p w:rsidR="007471C2" w:rsidRDefault="007471C2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7A5EDB" w:rsidRDefault="00C078D1" w:rsidP="007A5EDB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078D1">
        <w:rPr>
          <w:rFonts w:ascii="Arial" w:hAnsi="Arial" w:cs="Arial"/>
          <w:sz w:val="20"/>
          <w:szCs w:val="20"/>
        </w:rPr>
        <w:t>íši ohledně zadané objednávky Zvýšení kapacity mateřské školy. Je to dodávka pro mateřskou školku ve Veverské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78D1">
        <w:rPr>
          <w:rFonts w:ascii="Arial" w:hAnsi="Arial" w:cs="Arial"/>
          <w:sz w:val="20"/>
          <w:szCs w:val="20"/>
        </w:rPr>
        <w:t>Knínici</w:t>
      </w:r>
      <w:proofErr w:type="spellEnd"/>
      <w:r w:rsidRPr="00C078D1">
        <w:rPr>
          <w:rFonts w:ascii="Arial" w:hAnsi="Arial" w:cs="Arial"/>
          <w:sz w:val="20"/>
          <w:szCs w:val="20"/>
        </w:rPr>
        <w:t>. Potřebovala bych upřesnit, jak přesně má vypadat regál do skladu školky. Zda má být dřevěný nebo kovový, kolik má mít poliček a jaká má být nosnost jedné poličky v regálu.</w:t>
      </w:r>
    </w:p>
    <w:p w:rsidR="007471C2" w:rsidRDefault="007471C2" w:rsidP="007A5EDB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7471C2" w:rsidRDefault="00DF1215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</w:t>
      </w:r>
      <w:r w:rsidRPr="00C078D1">
        <w:rPr>
          <w:rFonts w:ascii="Arial" w:hAnsi="Arial" w:cs="Arial"/>
          <w:i/>
          <w:sz w:val="20"/>
          <w:szCs w:val="20"/>
        </w:rPr>
        <w:t xml:space="preserve">egály </w:t>
      </w:r>
      <w:r w:rsidR="00C078D1" w:rsidRPr="00C078D1">
        <w:rPr>
          <w:rFonts w:ascii="Arial" w:hAnsi="Arial" w:cs="Arial"/>
          <w:i/>
          <w:sz w:val="20"/>
          <w:szCs w:val="20"/>
        </w:rPr>
        <w:t>kovové s nosností min. 75 kg na polici. Počet polic 5.</w:t>
      </w:r>
      <w:bookmarkStart w:id="0" w:name="_GoBack"/>
      <w:bookmarkEnd w:id="0"/>
    </w:p>
    <w:p w:rsidR="00C078D1" w:rsidRDefault="00C078D1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C02893" w:rsidRPr="00C02893" w:rsidRDefault="00C02893" w:rsidP="00511DC1">
      <w:pPr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9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8"/>
  </w:num>
  <w:num w:numId="9">
    <w:abstractNumId w:val="0"/>
  </w:num>
  <w:num w:numId="10">
    <w:abstractNumId w:val="16"/>
  </w:num>
  <w:num w:numId="11">
    <w:abstractNumId w:val="1"/>
  </w:num>
  <w:num w:numId="12">
    <w:abstractNumId w:val="12"/>
  </w:num>
  <w:num w:numId="13">
    <w:abstractNumId w:val="20"/>
  </w:num>
  <w:num w:numId="14">
    <w:abstractNumId w:val="1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5123C"/>
    <w:rsid w:val="00071C86"/>
    <w:rsid w:val="0008454A"/>
    <w:rsid w:val="00084AC4"/>
    <w:rsid w:val="000D480B"/>
    <w:rsid w:val="001023ED"/>
    <w:rsid w:val="00102B3F"/>
    <w:rsid w:val="0012226C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41223A"/>
    <w:rsid w:val="00424C00"/>
    <w:rsid w:val="004525D2"/>
    <w:rsid w:val="00477D4C"/>
    <w:rsid w:val="004874EB"/>
    <w:rsid w:val="00491048"/>
    <w:rsid w:val="004A1D4D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77B5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D29AA"/>
    <w:rsid w:val="006D3DBD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D2C1A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73F20"/>
    <w:rsid w:val="00A96634"/>
    <w:rsid w:val="00AB7950"/>
    <w:rsid w:val="00AC628B"/>
    <w:rsid w:val="00AD2932"/>
    <w:rsid w:val="00AD6EDE"/>
    <w:rsid w:val="00B004FD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2893"/>
    <w:rsid w:val="00C0681F"/>
    <w:rsid w:val="00C078D1"/>
    <w:rsid w:val="00C12922"/>
    <w:rsid w:val="00C247C4"/>
    <w:rsid w:val="00C37E0E"/>
    <w:rsid w:val="00C402E2"/>
    <w:rsid w:val="00C7131A"/>
    <w:rsid w:val="00C8616D"/>
    <w:rsid w:val="00CA17BD"/>
    <w:rsid w:val="00CA1B48"/>
    <w:rsid w:val="00CC1284"/>
    <w:rsid w:val="00CD7749"/>
    <w:rsid w:val="00D12F19"/>
    <w:rsid w:val="00D5030C"/>
    <w:rsid w:val="00D535BD"/>
    <w:rsid w:val="00D602FE"/>
    <w:rsid w:val="00D818E2"/>
    <w:rsid w:val="00DB10E3"/>
    <w:rsid w:val="00DB28B1"/>
    <w:rsid w:val="00DD653A"/>
    <w:rsid w:val="00DF1215"/>
    <w:rsid w:val="00DF39E7"/>
    <w:rsid w:val="00E005FC"/>
    <w:rsid w:val="00E1113C"/>
    <w:rsid w:val="00E168E4"/>
    <w:rsid w:val="00E1761C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vrik@skleg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950A-4EAA-4B43-A60A-6685F5CE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51</cp:revision>
  <cp:lastPrinted>2013-07-09T05:46:00Z</cp:lastPrinted>
  <dcterms:created xsi:type="dcterms:W3CDTF">2013-07-09T05:34:00Z</dcterms:created>
  <dcterms:modified xsi:type="dcterms:W3CDTF">2017-12-04T16:44:00Z</dcterms:modified>
</cp:coreProperties>
</file>