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3"/>
        <w:gridCol w:w="4956"/>
      </w:tblGrid>
      <w:tr w:rsidR="00A17D0D" w:rsidRPr="00A17D0D" w14:paraId="29D6B7B5" w14:textId="77777777" w:rsidTr="00A17D0D">
        <w:tc>
          <w:tcPr>
            <w:tcW w:w="5109" w:type="dxa"/>
            <w:gridSpan w:val="2"/>
          </w:tcPr>
          <w:p w14:paraId="35849A80" w14:textId="77777777" w:rsid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 xml:space="preserve">Příloha č. 2 Zadávací dokumentace: </w:t>
            </w:r>
          </w:p>
          <w:p w14:paraId="3B27FA7D" w14:textId="77777777" w:rsidR="00A17D0D" w:rsidRP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Čestné prohlášení uchazeče</w:t>
            </w:r>
          </w:p>
        </w:tc>
        <w:tc>
          <w:tcPr>
            <w:tcW w:w="4956" w:type="dxa"/>
          </w:tcPr>
          <w:p w14:paraId="07C16D06" w14:textId="77777777" w:rsidR="00AD67B1" w:rsidRPr="00AD67B1" w:rsidRDefault="00AD67B1" w:rsidP="00AD67B1">
            <w:pPr>
              <w:spacing w:before="60" w:after="60" w:line="276" w:lineRule="auto"/>
              <w:rPr>
                <w:rFonts w:ascii="Times New Roman" w:hAnsi="Times New Roman" w:cs="Times New Roman"/>
                <w:b/>
                <w:bCs/>
                <w:lang w:val="en-US"/>
              </w:rPr>
            </w:pPr>
            <w:r w:rsidRPr="00AD67B1">
              <w:rPr>
                <w:rFonts w:ascii="Times New Roman" w:hAnsi="Times New Roman" w:cs="Times New Roman"/>
                <w:b/>
                <w:bCs/>
                <w:lang w:val="en-US"/>
              </w:rPr>
              <w:t>Appendix No. 2 Tender documentation:</w:t>
            </w:r>
          </w:p>
          <w:p w14:paraId="228029F7" w14:textId="77777777" w:rsidR="00A17D0D" w:rsidRPr="00AD67B1" w:rsidRDefault="00AD67B1" w:rsidP="00AD67B1">
            <w:pPr>
              <w:spacing w:before="60" w:after="60" w:line="276" w:lineRule="auto"/>
              <w:rPr>
                <w:rFonts w:ascii="Times New Roman" w:hAnsi="Times New Roman" w:cs="Times New Roman"/>
                <w:lang w:val="en-US"/>
              </w:rPr>
            </w:pPr>
            <w:r w:rsidRPr="00AD67B1">
              <w:rPr>
                <w:rFonts w:ascii="Times New Roman" w:hAnsi="Times New Roman" w:cs="Times New Roman"/>
                <w:b/>
                <w:bCs/>
                <w:lang w:val="en-US"/>
              </w:rPr>
              <w:t>Candidate's solemn declaration</w:t>
            </w:r>
          </w:p>
        </w:tc>
      </w:tr>
      <w:tr w:rsidR="00A17D0D" w:rsidRPr="00A17D0D" w14:paraId="477DAB0D" w14:textId="77777777" w:rsidTr="00A17D0D">
        <w:tc>
          <w:tcPr>
            <w:tcW w:w="5109" w:type="dxa"/>
            <w:gridSpan w:val="2"/>
          </w:tcPr>
          <w:p w14:paraId="2D525F77"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6" w:type="dxa"/>
          </w:tcPr>
          <w:p w14:paraId="4C25215C"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14:paraId="76FBD21B" w14:textId="77777777" w:rsidTr="00A17D0D">
        <w:tc>
          <w:tcPr>
            <w:tcW w:w="5109" w:type="dxa"/>
            <w:gridSpan w:val="2"/>
          </w:tcPr>
          <w:p w14:paraId="3B17E964" w14:textId="0016FA4F" w:rsidR="00A17D0D" w:rsidRPr="00AD67B1" w:rsidRDefault="00DA3CA7" w:rsidP="00A17D0D">
            <w:pPr>
              <w:spacing w:before="60" w:after="60" w:line="276" w:lineRule="auto"/>
              <w:rPr>
                <w:rFonts w:ascii="Times New Roman" w:hAnsi="Times New Roman" w:cs="Times New Roman"/>
                <w:sz w:val="20"/>
                <w:szCs w:val="20"/>
              </w:rPr>
            </w:pPr>
            <w:r w:rsidRPr="00DA3CA7">
              <w:rPr>
                <w:rFonts w:ascii="Times New Roman" w:hAnsi="Times New Roman" w:cs="Times New Roman"/>
                <w:sz w:val="20"/>
                <w:szCs w:val="20"/>
              </w:rPr>
              <w:t>Výběrové řízení s dílčím plněním na dodávku technologií</w:t>
            </w:r>
          </w:p>
        </w:tc>
        <w:tc>
          <w:tcPr>
            <w:tcW w:w="4956" w:type="dxa"/>
          </w:tcPr>
          <w:p w14:paraId="1F6168BD" w14:textId="5A4D0115" w:rsidR="00A17D0D" w:rsidRPr="00AD67B1" w:rsidRDefault="00C619EB" w:rsidP="00A17D0D">
            <w:pPr>
              <w:spacing w:before="60" w:after="60" w:line="276" w:lineRule="auto"/>
              <w:rPr>
                <w:rFonts w:ascii="Times New Roman" w:hAnsi="Times New Roman" w:cs="Times New Roman"/>
                <w:sz w:val="20"/>
                <w:szCs w:val="20"/>
                <w:lang w:val="en-US"/>
              </w:rPr>
            </w:pPr>
            <w:r w:rsidRPr="00C619EB">
              <w:rPr>
                <w:rFonts w:ascii="Times New Roman" w:hAnsi="Times New Roman" w:cs="Times New Roman"/>
                <w:sz w:val="20"/>
                <w:szCs w:val="20"/>
                <w:lang w:val="en-US"/>
              </w:rPr>
              <w:t>A tender procedure with partial performance for the supply of technology</w:t>
            </w:r>
          </w:p>
        </w:tc>
      </w:tr>
      <w:tr w:rsidR="00A17D0D" w:rsidRPr="00A17D0D" w14:paraId="1BCC14E7" w14:textId="77777777" w:rsidTr="00A17D0D">
        <w:tc>
          <w:tcPr>
            <w:tcW w:w="5109" w:type="dxa"/>
            <w:gridSpan w:val="2"/>
          </w:tcPr>
          <w:p w14:paraId="35B83F89"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6" w:type="dxa"/>
          </w:tcPr>
          <w:p w14:paraId="786A29A2"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14:paraId="3C8F0D27" w14:textId="77777777" w:rsidTr="00A17D0D">
        <w:tc>
          <w:tcPr>
            <w:tcW w:w="5109" w:type="dxa"/>
            <w:gridSpan w:val="2"/>
          </w:tcPr>
          <w:p w14:paraId="7F4AAEDE" w14:textId="77777777" w:rsidR="00A17D0D" w:rsidRPr="00AD67B1" w:rsidRDefault="00AD67B1"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6" w:type="dxa"/>
          </w:tcPr>
          <w:p w14:paraId="6F236964"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14:paraId="5513E290" w14:textId="77777777" w:rsidTr="00A17D0D">
        <w:tc>
          <w:tcPr>
            <w:tcW w:w="326" w:type="dxa"/>
          </w:tcPr>
          <w:p w14:paraId="56F85354"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3" w:type="dxa"/>
          </w:tcPr>
          <w:p w14:paraId="0FA1A645"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tc>
        <w:tc>
          <w:tcPr>
            <w:tcW w:w="4956" w:type="dxa"/>
          </w:tcPr>
          <w:p w14:paraId="477455FF"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has not been convicted of an offense referred to in Annex 3 to the Act on Public Procurement in the last 5 years prior to the commencement of the procurement procedure or a similar offense under the law of the supplier's country of residence; smoothed-out convictions are not </w:t>
            </w:r>
            <w:proofErr w:type="gramStart"/>
            <w:r w:rsidRPr="00AD67B1">
              <w:rPr>
                <w:rFonts w:ascii="Times New Roman" w:hAnsi="Times New Roman" w:cs="Times New Roman"/>
                <w:sz w:val="20"/>
                <w:szCs w:val="20"/>
                <w:lang w:val="en-US"/>
              </w:rPr>
              <w:t>taken into account</w:t>
            </w:r>
            <w:proofErr w:type="gramEnd"/>
            <w:r w:rsidRPr="00AD67B1">
              <w:rPr>
                <w:rFonts w:ascii="Times New Roman" w:hAnsi="Times New Roman" w:cs="Times New Roman"/>
                <w:sz w:val="20"/>
                <w:szCs w:val="20"/>
                <w:lang w:val="en-US"/>
              </w:rPr>
              <w:t>,</w:t>
            </w:r>
          </w:p>
        </w:tc>
      </w:tr>
      <w:tr w:rsidR="00A17D0D" w:rsidRPr="00A17D0D" w14:paraId="5102DE9C" w14:textId="77777777" w:rsidTr="00A17D0D">
        <w:tc>
          <w:tcPr>
            <w:tcW w:w="326" w:type="dxa"/>
          </w:tcPr>
          <w:p w14:paraId="76E7A0BA"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3" w:type="dxa"/>
          </w:tcPr>
          <w:p w14:paraId="2F0DE76C"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v evidenci daní zachycen splatný daňový nedoplatek,</w:t>
            </w:r>
          </w:p>
        </w:tc>
        <w:tc>
          <w:tcPr>
            <w:tcW w:w="4956" w:type="dxa"/>
          </w:tcPr>
          <w:p w14:paraId="4373EAC8"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 tax arrears due in the tax records in the Czech Republic or in the country of its registered office,</w:t>
            </w:r>
          </w:p>
        </w:tc>
      </w:tr>
      <w:tr w:rsidR="00A17D0D" w:rsidRPr="00A17D0D" w14:paraId="1D547633" w14:textId="77777777" w:rsidTr="00A17D0D">
        <w:tc>
          <w:tcPr>
            <w:tcW w:w="326" w:type="dxa"/>
          </w:tcPr>
          <w:p w14:paraId="7622EC59"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3" w:type="dxa"/>
          </w:tcPr>
          <w:p w14:paraId="34D1FED4"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veřejné zdravotní pojištění,</w:t>
            </w:r>
          </w:p>
        </w:tc>
        <w:tc>
          <w:tcPr>
            <w:tcW w:w="4956" w:type="dxa"/>
          </w:tcPr>
          <w:p w14:paraId="7729E573"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on insurance premiums or penalties for public health insurance in the Czech Republic or in the country of its registered office,</w:t>
            </w:r>
          </w:p>
        </w:tc>
      </w:tr>
      <w:tr w:rsidR="00A17D0D" w:rsidRPr="00A17D0D" w14:paraId="64DA5F68" w14:textId="77777777" w:rsidTr="00A17D0D">
        <w:tc>
          <w:tcPr>
            <w:tcW w:w="326" w:type="dxa"/>
          </w:tcPr>
          <w:p w14:paraId="4C473B19"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3" w:type="dxa"/>
          </w:tcPr>
          <w:p w14:paraId="63B30D3D"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tc>
        <w:tc>
          <w:tcPr>
            <w:tcW w:w="4956" w:type="dxa"/>
          </w:tcPr>
          <w:p w14:paraId="670FD139"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in insurance premiums or penalties for social security and contributions to the state employment policy in the Czech Republic or in the country of its registered office,</w:t>
            </w:r>
          </w:p>
        </w:tc>
      </w:tr>
      <w:tr w:rsidR="00A17D0D" w:rsidRPr="00A17D0D" w14:paraId="2F1BD956" w14:textId="77777777" w:rsidTr="00A17D0D">
        <w:tc>
          <w:tcPr>
            <w:tcW w:w="326" w:type="dxa"/>
          </w:tcPr>
          <w:p w14:paraId="288B019C"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3" w:type="dxa"/>
          </w:tcPr>
          <w:p w14:paraId="77C97591"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není v likvidaci, proti němuž nebylo vydáno rozhodnutí o úpadku, vůči němuž nebyla nařízena nucená správa podle jiného právního předpisu nebo v obdobné situaci podle právního řádu země sídla dodavatele.</w:t>
            </w:r>
          </w:p>
        </w:tc>
        <w:tc>
          <w:tcPr>
            <w:tcW w:w="4956" w:type="dxa"/>
          </w:tcPr>
          <w:p w14:paraId="06B028DA"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is not in liquidation, against which a bankruptcy decision has not been issued, against which compulsory administration has not been ordered pursuant to another legal regulation or in a similar situation pursuant to the legal order of the supplier's country of residence.</w:t>
            </w:r>
          </w:p>
        </w:tc>
      </w:tr>
      <w:tr w:rsidR="00A17D0D" w:rsidRPr="00A17D0D" w14:paraId="35680562" w14:textId="77777777" w:rsidTr="001D257F">
        <w:tc>
          <w:tcPr>
            <w:tcW w:w="10065" w:type="dxa"/>
            <w:gridSpan w:val="3"/>
          </w:tcPr>
          <w:p w14:paraId="5A6D7D2D" w14:textId="77777777" w:rsidR="00A17D0D" w:rsidRPr="00AD67B1" w:rsidRDefault="00A17D0D" w:rsidP="00A17D0D">
            <w:pPr>
              <w:spacing w:before="60" w:after="60" w:line="276" w:lineRule="auto"/>
              <w:rPr>
                <w:rFonts w:ascii="Times New Roman" w:hAnsi="Times New Roman" w:cs="Times New Roman"/>
                <w:sz w:val="20"/>
                <w:szCs w:val="20"/>
              </w:rPr>
            </w:pPr>
          </w:p>
        </w:tc>
      </w:tr>
      <w:tr w:rsidR="00A17D0D" w:rsidRPr="00A17D0D" w14:paraId="15644CF8" w14:textId="77777777" w:rsidTr="000F48DD">
        <w:tc>
          <w:tcPr>
            <w:tcW w:w="10065" w:type="dxa"/>
            <w:gridSpan w:val="3"/>
          </w:tcPr>
          <w:p w14:paraId="72A358DD" w14:textId="77777777" w:rsidR="00A17D0D" w:rsidRPr="00AD67B1" w:rsidRDefault="00A17D0D" w:rsidP="00A17D0D">
            <w:pPr>
              <w:spacing w:before="60" w:after="60" w:line="276" w:lineRule="auto"/>
              <w:rPr>
                <w:rFonts w:ascii="Times New Roman" w:hAnsi="Times New Roman" w:cs="Times New Roman"/>
                <w:sz w:val="20"/>
                <w:szCs w:val="20"/>
              </w:rPr>
            </w:pPr>
          </w:p>
          <w:p w14:paraId="7F95156F"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V/In …………………… dne/on………………</w:t>
            </w:r>
            <w:proofErr w:type="gramStart"/>
            <w:r w:rsidRPr="00AD67B1">
              <w:rPr>
                <w:rFonts w:ascii="Times New Roman" w:hAnsi="Times New Roman" w:cs="Times New Roman"/>
                <w:sz w:val="20"/>
                <w:szCs w:val="20"/>
              </w:rPr>
              <w:t>…….</w:t>
            </w:r>
            <w:proofErr w:type="gramEnd"/>
            <w:r w:rsidRPr="00AD67B1">
              <w:rPr>
                <w:rFonts w:ascii="Times New Roman" w:hAnsi="Times New Roman" w:cs="Times New Roman"/>
                <w:sz w:val="20"/>
                <w:szCs w:val="20"/>
              </w:rPr>
              <w:t>.</w:t>
            </w:r>
          </w:p>
        </w:tc>
      </w:tr>
      <w:tr w:rsidR="00A17D0D" w:rsidRPr="00A17D0D" w14:paraId="22804270" w14:textId="77777777" w:rsidTr="000F48DD">
        <w:tc>
          <w:tcPr>
            <w:tcW w:w="10065" w:type="dxa"/>
            <w:gridSpan w:val="3"/>
          </w:tcPr>
          <w:p w14:paraId="43E9937F" w14:textId="77777777" w:rsidR="00A17D0D" w:rsidRDefault="00A17D0D" w:rsidP="00A17D0D">
            <w:pPr>
              <w:spacing w:before="60" w:after="60" w:line="276" w:lineRule="auto"/>
              <w:jc w:val="right"/>
              <w:rPr>
                <w:rFonts w:ascii="Times New Roman" w:hAnsi="Times New Roman" w:cs="Times New Roman"/>
              </w:rPr>
            </w:pPr>
          </w:p>
          <w:p w14:paraId="72CC3AF6" w14:textId="77777777" w:rsidR="00AD67B1" w:rsidRDefault="00AD67B1" w:rsidP="00A17D0D">
            <w:pPr>
              <w:spacing w:before="60" w:after="60" w:line="276" w:lineRule="auto"/>
              <w:jc w:val="right"/>
              <w:rPr>
                <w:rFonts w:ascii="Times New Roman" w:hAnsi="Times New Roman" w:cs="Times New Roman"/>
              </w:rPr>
            </w:pPr>
          </w:p>
          <w:p w14:paraId="1FFEE8AE" w14:textId="77777777" w:rsidR="00A17D0D" w:rsidRDefault="00AD67B1" w:rsidP="00A17D0D">
            <w:pPr>
              <w:spacing w:before="60" w:after="60"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14:paraId="113111B0" w14:textId="77777777" w:rsidR="00A17D0D" w:rsidRPr="00AD67B1" w:rsidRDefault="00A17D0D" w:rsidP="00AD67B1">
            <w:pPr>
              <w:tabs>
                <w:tab w:val="center" w:pos="5103"/>
              </w:tabs>
              <w:spacing w:before="60" w:after="60"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14:paraId="2D8190B0" w14:textId="77777777" w:rsidR="00000000" w:rsidRPr="00A17D0D" w:rsidRDefault="00000000" w:rsidP="00A17D0D">
      <w:pPr>
        <w:spacing w:before="60" w:after="60" w:line="276" w:lineRule="auto"/>
        <w:rPr>
          <w:rFonts w:ascii="Times New Roman" w:hAnsi="Times New Roman" w:cs="Times New Roman"/>
        </w:rPr>
      </w:pPr>
    </w:p>
    <w:sectPr w:rsidR="007E6B44" w:rsidRPr="00A17D0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5F894" w14:textId="77777777" w:rsidR="00435260" w:rsidRDefault="00435260" w:rsidP="00A17D0D">
      <w:pPr>
        <w:spacing w:after="0" w:line="240" w:lineRule="auto"/>
      </w:pPr>
      <w:r>
        <w:separator/>
      </w:r>
    </w:p>
  </w:endnote>
  <w:endnote w:type="continuationSeparator" w:id="0">
    <w:p w14:paraId="7D21CF9F" w14:textId="77777777" w:rsidR="00435260" w:rsidRDefault="00435260"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AA89" w14:textId="77777777" w:rsidR="00435260" w:rsidRDefault="00435260" w:rsidP="00A17D0D">
      <w:pPr>
        <w:spacing w:after="0" w:line="240" w:lineRule="auto"/>
      </w:pPr>
      <w:r>
        <w:separator/>
      </w:r>
    </w:p>
  </w:footnote>
  <w:footnote w:type="continuationSeparator" w:id="0">
    <w:p w14:paraId="44FB911F" w14:textId="77777777" w:rsidR="00435260" w:rsidRDefault="00435260" w:rsidP="00A17D0D">
      <w:pPr>
        <w:spacing w:after="0" w:line="240" w:lineRule="auto"/>
      </w:pPr>
      <w:r>
        <w:continuationSeparator/>
      </w:r>
    </w:p>
  </w:footnote>
  <w:footnote w:id="1">
    <w:p w14:paraId="15D180BA" w14:textId="77777777"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14:paraId="672A57BB" w14:textId="77777777" w:rsidTr="00ED6B80">
      <w:trPr>
        <w:trHeight w:val="794"/>
      </w:trPr>
      <w:tc>
        <w:tcPr>
          <w:tcW w:w="5141" w:type="dxa"/>
          <w:vAlign w:val="center"/>
        </w:tcPr>
        <w:p w14:paraId="67BCB77A" w14:textId="77777777" w:rsidR="00A17D0D" w:rsidRPr="001211C6" w:rsidRDefault="00000000"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1C073B">
              <w:rPr>
                <w:color w:val="0000FF"/>
              </w:rPr>
              <w:fldChar w:fldCharType="begin"/>
            </w:r>
            <w:r w:rsidR="001C073B">
              <w:rPr>
                <w:color w:val="0000FF"/>
              </w:rPr>
              <w:instrText xml:space="preserve"> INCLUDEPICTURE  "http://www.ceskainovace.cz/images/resized/images/mpo-logo.jpg" \* MERGEFORMATINET </w:instrText>
            </w:r>
            <w:r w:rsidR="001C073B">
              <w:rPr>
                <w:color w:val="0000FF"/>
              </w:rPr>
              <w:fldChar w:fldCharType="separate"/>
            </w:r>
            <w:r w:rsidR="00A63914">
              <w:rPr>
                <w:color w:val="0000FF"/>
              </w:rPr>
              <w:fldChar w:fldCharType="begin"/>
            </w:r>
            <w:r w:rsidR="00A63914">
              <w:rPr>
                <w:color w:val="0000FF"/>
              </w:rPr>
              <w:instrText xml:space="preserve"> INCLUDEPICTURE  "http://www.ceskainovace.cz/images/resized/images/mpo-logo.jpg" \* MERGEFORMATINET </w:instrText>
            </w:r>
            <w:r w:rsidR="00A63914">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pict w14:anchorId="1B490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2pt;height:34.2pt" o:button="t">
                  <v:imagedata r:id="rId2" r:href="rId3"/>
                </v:shape>
              </w:pict>
            </w:r>
            <w:r>
              <w:rPr>
                <w:color w:val="0000FF"/>
              </w:rPr>
              <w:fldChar w:fldCharType="end"/>
            </w:r>
            <w:r w:rsidR="00A63914">
              <w:rPr>
                <w:color w:val="0000FF"/>
              </w:rPr>
              <w:fldChar w:fldCharType="end"/>
            </w:r>
            <w:r w:rsidR="001C073B">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14:paraId="4DD7B43D" w14:textId="2FA04125" w:rsidR="00A17D0D" w:rsidRDefault="00A82966" w:rsidP="00A17D0D">
          <w:pPr>
            <w:pStyle w:val="Zhlav"/>
            <w:jc w:val="center"/>
          </w:pPr>
          <w:r>
            <w:rPr>
              <w:noProof/>
            </w:rPr>
            <w:drawing>
              <wp:anchor distT="0" distB="0" distL="114300" distR="114300" simplePos="0" relativeHeight="251659264" behindDoc="0" locked="0" layoutInCell="1" allowOverlap="1" wp14:anchorId="31EFFDB6" wp14:editId="6B86B67D">
                <wp:simplePos x="0" y="0"/>
                <wp:positionH relativeFrom="margin">
                  <wp:posOffset>1486535</wp:posOffset>
                </wp:positionH>
                <wp:positionV relativeFrom="margin">
                  <wp:posOffset>71120</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A17D0D">
            <w:rPr>
              <w:noProof/>
            </w:rPr>
            <w:t xml:space="preserve">             </w:t>
          </w:r>
        </w:p>
      </w:tc>
    </w:tr>
  </w:tbl>
  <w:p w14:paraId="5E749D63" w14:textId="77777777"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191362"/>
    <w:rsid w:val="001C073B"/>
    <w:rsid w:val="00210622"/>
    <w:rsid w:val="003D403F"/>
    <w:rsid w:val="00435260"/>
    <w:rsid w:val="005877D4"/>
    <w:rsid w:val="00743035"/>
    <w:rsid w:val="00931040"/>
    <w:rsid w:val="009654B0"/>
    <w:rsid w:val="00A17D0D"/>
    <w:rsid w:val="00A45991"/>
    <w:rsid w:val="00A63914"/>
    <w:rsid w:val="00A82966"/>
    <w:rsid w:val="00AD67B1"/>
    <w:rsid w:val="00B763AF"/>
    <w:rsid w:val="00C619EB"/>
    <w:rsid w:val="00DA3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60CF"/>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358</Words>
  <Characters>2114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7</cp:revision>
  <dcterms:created xsi:type="dcterms:W3CDTF">2020-09-27T18:51:00Z</dcterms:created>
  <dcterms:modified xsi:type="dcterms:W3CDTF">2024-04-02T10:23:00Z</dcterms:modified>
</cp:coreProperties>
</file>