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</w:p>
    <w:p w:rsidR="005A1322" w:rsidRDefault="005A1322" w:rsidP="005A1322">
      <w:pPr>
        <w:pStyle w:val="Zhlav"/>
        <w:jc w:val="right"/>
      </w:pPr>
      <w:r>
        <w:t>V</w:t>
      </w:r>
      <w:r w:rsidR="004013FC">
        <w:t> </w:t>
      </w:r>
      <w:r w:rsidR="00A67FCE">
        <w:t xml:space="preserve"> </w:t>
      </w:r>
      <w:proofErr w:type="gramStart"/>
      <w:r>
        <w:t>Praze</w:t>
      </w:r>
      <w:r w:rsidR="004013FC">
        <w:t xml:space="preserve"> </w:t>
      </w:r>
      <w:r w:rsidR="007E4F5E">
        <w:t xml:space="preserve"> </w:t>
      </w:r>
      <w:r w:rsidR="001D0F20">
        <w:t>dne</w:t>
      </w:r>
      <w:proofErr w:type="gramEnd"/>
      <w:r w:rsidR="007E4F5E">
        <w:t xml:space="preserve"> </w:t>
      </w:r>
      <w:r w:rsidR="005239B4">
        <w:t xml:space="preserve"> </w:t>
      </w:r>
      <w:r w:rsidR="00A67FCE">
        <w:t>8. srpna 2014</w:t>
      </w:r>
      <w:r>
        <w:t xml:space="preserve">  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1D0F20" w:rsidRPr="001D0F20" w:rsidRDefault="005A1322" w:rsidP="001D0F20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3F6D53">
        <w:rPr>
          <w:rFonts w:ascii="Verdana" w:hAnsi="Verdana" w:cs="Calibri"/>
          <w:b/>
          <w:sz w:val="20"/>
          <w:szCs w:val="20"/>
        </w:rPr>
        <w:t xml:space="preserve">Motorizovaný </w:t>
      </w:r>
      <w:r w:rsidR="003F6968">
        <w:rPr>
          <w:rFonts w:ascii="Verdana" w:hAnsi="Verdana" w:cs="Calibri"/>
          <w:b/>
          <w:sz w:val="20"/>
          <w:szCs w:val="20"/>
        </w:rPr>
        <w:t>XYZ polohovací sytém pro vakuovou komoru</w:t>
      </w:r>
      <w:r w:rsidR="008F0F64">
        <w:rPr>
          <w:rFonts w:ascii="Verdana" w:hAnsi="Verdana"/>
          <w:b/>
          <w:sz w:val="20"/>
          <w:szCs w:val="20"/>
        </w:rPr>
        <w:t>“</w:t>
      </w:r>
    </w:p>
    <w:p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B00F2C" w:rsidP="00B00F2C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3F6968">
        <w:rPr>
          <w:rFonts w:ascii="Verdana" w:hAnsi="Verdana" w:cs="Calibri"/>
          <w:b/>
          <w:sz w:val="20"/>
          <w:szCs w:val="20"/>
        </w:rPr>
        <w:t>XYZ polohovací systém pro vakuovou komoru</w:t>
      </w:r>
      <w:r>
        <w:rPr>
          <w:rFonts w:ascii="Verdana" w:hAnsi="Verdana"/>
          <w:b/>
          <w:sz w:val="20"/>
          <w:szCs w:val="20"/>
        </w:rPr>
        <w:t>“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:rsidR="003F6968" w:rsidRPr="00A67FCE" w:rsidRDefault="00164353" w:rsidP="006238C4">
      <w:pPr>
        <w:pStyle w:val="Zkladntext"/>
        <w:jc w:val="both"/>
        <w:rPr>
          <w:rFonts w:ascii="Verdana" w:hAnsi="Verdana"/>
        </w:rPr>
      </w:pPr>
      <w:r w:rsidRPr="00A67FCE">
        <w:rPr>
          <w:rFonts w:ascii="Verdana" w:hAnsi="Verdana"/>
        </w:rPr>
        <w:t xml:space="preserve">Jedná se o dodávku </w:t>
      </w:r>
      <w:r w:rsidR="003F6D53" w:rsidRPr="00A67FCE">
        <w:rPr>
          <w:rFonts w:ascii="Verdana" w:hAnsi="Verdana"/>
        </w:rPr>
        <w:t xml:space="preserve">motorizovaného </w:t>
      </w:r>
      <w:r w:rsidR="003F6968" w:rsidRPr="00A67FCE">
        <w:rPr>
          <w:rFonts w:ascii="Verdana" w:hAnsi="Verdana"/>
        </w:rPr>
        <w:t>XYZ polohovacího sytému do vakuové komory</w:t>
      </w:r>
      <w:r w:rsidR="00B00F2C" w:rsidRPr="00A67FCE">
        <w:rPr>
          <w:rFonts w:ascii="Verdana" w:hAnsi="Verdana"/>
        </w:rPr>
        <w:t xml:space="preserve"> (dále jen „</w:t>
      </w:r>
      <w:r w:rsidR="003F6968" w:rsidRPr="00A67FCE">
        <w:rPr>
          <w:rFonts w:ascii="Verdana" w:hAnsi="Verdana"/>
        </w:rPr>
        <w:t>polohovací systém</w:t>
      </w:r>
      <w:r w:rsidR="00B00F2C" w:rsidRPr="00A67FCE">
        <w:rPr>
          <w:rFonts w:ascii="Verdana" w:hAnsi="Verdana"/>
        </w:rPr>
        <w:t>“)</w:t>
      </w:r>
      <w:r w:rsidR="002D239C" w:rsidRPr="00A67FCE">
        <w:rPr>
          <w:rFonts w:ascii="Verdana" w:hAnsi="Verdana"/>
        </w:rPr>
        <w:t xml:space="preserve">, který umožní </w:t>
      </w:r>
      <w:r w:rsidR="003F6968" w:rsidRPr="00A67FCE">
        <w:rPr>
          <w:rFonts w:ascii="Verdana" w:hAnsi="Verdana"/>
        </w:rPr>
        <w:t>velmi přesnou manipulaci se vzorkem</w:t>
      </w:r>
      <w:r w:rsidR="002D239C" w:rsidRPr="00A67FCE">
        <w:rPr>
          <w:rFonts w:ascii="Verdana" w:hAnsi="Verdana"/>
        </w:rPr>
        <w:t xml:space="preserve">. </w:t>
      </w:r>
      <w:r w:rsidR="003F6968" w:rsidRPr="00A67FCE">
        <w:rPr>
          <w:rFonts w:ascii="Verdana" w:hAnsi="Verdana"/>
        </w:rPr>
        <w:t xml:space="preserve">Polohovací systém umožní jak lineární posun vzorku, tak i rotační posuv. </w:t>
      </w:r>
      <w:r w:rsidRPr="00A67FCE">
        <w:rPr>
          <w:rFonts w:ascii="Verdana" w:hAnsi="Verdana"/>
        </w:rPr>
        <w:t xml:space="preserve">Součástí dodávky </w:t>
      </w:r>
      <w:r w:rsidR="00DF619D" w:rsidRPr="00A67FCE">
        <w:rPr>
          <w:rFonts w:ascii="Verdana" w:hAnsi="Verdana"/>
        </w:rPr>
        <w:t xml:space="preserve"> </w:t>
      </w:r>
      <w:r w:rsidR="003F6968" w:rsidRPr="00A67FCE">
        <w:rPr>
          <w:rFonts w:ascii="Verdana" w:hAnsi="Verdana"/>
        </w:rPr>
        <w:t>polohovacího sytému</w:t>
      </w:r>
      <w:r w:rsidR="00B00F2C" w:rsidRPr="00A67FCE">
        <w:rPr>
          <w:rFonts w:ascii="Verdana" w:hAnsi="Verdana"/>
        </w:rPr>
        <w:t xml:space="preserve"> </w:t>
      </w:r>
      <w:proofErr w:type="gramStart"/>
      <w:r w:rsidR="00B00F2C" w:rsidRPr="00A67FCE">
        <w:rPr>
          <w:rFonts w:ascii="Verdana" w:hAnsi="Verdana"/>
        </w:rPr>
        <w:t xml:space="preserve">je </w:t>
      </w:r>
      <w:r w:rsidR="00C84290" w:rsidRPr="00A67FCE">
        <w:rPr>
          <w:rFonts w:ascii="Verdana" w:hAnsi="Verdana"/>
        </w:rPr>
        <w:t>:</w:t>
      </w:r>
      <w:proofErr w:type="gramEnd"/>
    </w:p>
    <w:p w:rsidR="00164353" w:rsidRPr="00E760A1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doprava do centra </w:t>
      </w:r>
      <w:proofErr w:type="spellStart"/>
      <w:r w:rsidRPr="00E760A1">
        <w:rPr>
          <w:rFonts w:ascii="Verdana" w:hAnsi="Verdana"/>
          <w:sz w:val="20"/>
          <w:szCs w:val="20"/>
        </w:rPr>
        <w:t>Hilase</w:t>
      </w:r>
      <w:proofErr w:type="spellEnd"/>
      <w:r w:rsidRPr="00E760A1">
        <w:rPr>
          <w:rFonts w:ascii="Verdana" w:hAnsi="Verdana"/>
          <w:sz w:val="20"/>
          <w:szCs w:val="20"/>
        </w:rPr>
        <w:t xml:space="preserve"> v Dolních Břežanech</w:t>
      </w:r>
      <w:r w:rsidR="00164353" w:rsidRPr="00E760A1">
        <w:rPr>
          <w:rFonts w:ascii="Verdana" w:hAnsi="Verdana"/>
          <w:sz w:val="20"/>
          <w:szCs w:val="20"/>
        </w:rPr>
        <w:t xml:space="preserve"> </w:t>
      </w:r>
    </w:p>
    <w:p w:rsidR="00164353" w:rsidRPr="00E760A1" w:rsidRDefault="00164353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>dodání technické do</w:t>
      </w:r>
      <w:r w:rsidR="008279A2" w:rsidRPr="00E760A1">
        <w:rPr>
          <w:rFonts w:ascii="Verdana" w:hAnsi="Verdana"/>
          <w:sz w:val="20"/>
          <w:szCs w:val="20"/>
        </w:rPr>
        <w:t>kumentace (manuál) a pokynů k  provozu</w:t>
      </w:r>
    </w:p>
    <w:p w:rsidR="004E215F" w:rsidRDefault="00164353" w:rsidP="009D3F7D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>zajištění technické podpory</w:t>
      </w:r>
      <w:r w:rsidR="004E215F">
        <w:rPr>
          <w:rFonts w:ascii="Verdana" w:hAnsi="Verdana"/>
          <w:sz w:val="20"/>
          <w:szCs w:val="20"/>
        </w:rPr>
        <w:t xml:space="preserve"> po dobu 12 měsíců</w:t>
      </w:r>
    </w:p>
    <w:p w:rsidR="00287F86" w:rsidRPr="00E760A1" w:rsidRDefault="004E215F" w:rsidP="009D3F7D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školení pro 4 osoby v rozsahu 16 hodin pro každou osobu</w:t>
      </w:r>
      <w:r w:rsidR="00164353" w:rsidRPr="00E760A1">
        <w:rPr>
          <w:rFonts w:ascii="Verdana" w:hAnsi="Verdana"/>
          <w:sz w:val="20"/>
          <w:szCs w:val="20"/>
        </w:rPr>
        <w:t xml:space="preserve"> </w:t>
      </w:r>
    </w:p>
    <w:p w:rsidR="00164353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zajištění záručního </w:t>
      </w:r>
      <w:r w:rsidR="008279A2" w:rsidRPr="00E760A1">
        <w:rPr>
          <w:rFonts w:ascii="Verdana" w:hAnsi="Verdana"/>
          <w:sz w:val="20"/>
          <w:szCs w:val="20"/>
        </w:rPr>
        <w:t>servisu</w:t>
      </w:r>
    </w:p>
    <w:p w:rsidR="000473BE" w:rsidRPr="000473BE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A67FCE" w:rsidRDefault="00A67FCE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proofErr w:type="gramStart"/>
      <w:r w:rsidR="004C4E28" w:rsidRPr="00336FE1">
        <w:rPr>
          <w:rFonts w:ascii="Verdana" w:hAnsi="Verdana"/>
          <w:sz w:val="20"/>
          <w:szCs w:val="20"/>
        </w:rPr>
        <w:t xml:space="preserve">Doba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4C4E28" w:rsidRPr="00336FE1">
        <w:rPr>
          <w:rFonts w:ascii="Verdana" w:hAnsi="Verdana"/>
          <w:sz w:val="20"/>
          <w:szCs w:val="20"/>
        </w:rPr>
        <w:t>dodání</w:t>
      </w:r>
      <w:proofErr w:type="gramEnd"/>
      <w:r w:rsidR="004C4E28" w:rsidRPr="00336FE1">
        <w:rPr>
          <w:rFonts w:ascii="Verdana" w:hAnsi="Verdana"/>
          <w:sz w:val="20"/>
          <w:szCs w:val="20"/>
        </w:rPr>
        <w:t xml:space="preserve">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3F6968">
        <w:rPr>
          <w:rFonts w:ascii="Verdana" w:hAnsi="Verdana"/>
          <w:sz w:val="20"/>
          <w:szCs w:val="20"/>
        </w:rPr>
        <w:t>polohovacího systému</w:t>
      </w:r>
      <w:r w:rsidR="00B00F2C">
        <w:rPr>
          <w:rFonts w:ascii="Verdana" w:hAnsi="Verdana"/>
          <w:sz w:val="20"/>
          <w:szCs w:val="20"/>
        </w:rPr>
        <w:t xml:space="preserve">  </w:t>
      </w:r>
      <w:r w:rsidR="004C4E28" w:rsidRPr="00E760A1">
        <w:rPr>
          <w:rFonts w:ascii="Verdana" w:hAnsi="Verdana"/>
          <w:sz w:val="20"/>
          <w:szCs w:val="20"/>
        </w:rPr>
        <w:t xml:space="preserve">je </w:t>
      </w:r>
      <w:r w:rsidR="00B7591C">
        <w:rPr>
          <w:rFonts w:ascii="Verdana" w:hAnsi="Verdana"/>
          <w:sz w:val="20"/>
          <w:szCs w:val="20"/>
        </w:rPr>
        <w:t xml:space="preserve"> do 30.</w:t>
      </w:r>
      <w:r w:rsidR="004E215F">
        <w:rPr>
          <w:rFonts w:ascii="Verdana" w:hAnsi="Verdana"/>
          <w:sz w:val="20"/>
          <w:szCs w:val="20"/>
        </w:rPr>
        <w:t xml:space="preserve"> </w:t>
      </w:r>
      <w:r w:rsidR="00B7591C">
        <w:rPr>
          <w:rFonts w:ascii="Verdana" w:hAnsi="Verdana"/>
          <w:sz w:val="20"/>
          <w:szCs w:val="20"/>
        </w:rPr>
        <w:t>9.</w:t>
      </w:r>
      <w:r w:rsidR="004E215F">
        <w:rPr>
          <w:rFonts w:ascii="Verdana" w:hAnsi="Verdana"/>
          <w:sz w:val="20"/>
          <w:szCs w:val="20"/>
        </w:rPr>
        <w:t xml:space="preserve"> </w:t>
      </w:r>
      <w:r w:rsidR="00B7591C">
        <w:rPr>
          <w:rFonts w:ascii="Verdana" w:hAnsi="Verdana"/>
          <w:sz w:val="20"/>
          <w:szCs w:val="20"/>
        </w:rPr>
        <w:t>2014.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 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B012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EE7953" w:rsidRPr="007070CC">
        <w:rPr>
          <w:rFonts w:ascii="Verdana" w:hAnsi="Verdana"/>
          <w:b/>
          <w:bCs/>
          <w:sz w:val="20"/>
          <w:szCs w:val="20"/>
        </w:rPr>
        <w:t>„</w:t>
      </w:r>
      <w:r w:rsidR="003F6968">
        <w:rPr>
          <w:rFonts w:ascii="Verdana" w:hAnsi="Verdana" w:cs="Calibri"/>
          <w:b/>
          <w:sz w:val="20"/>
          <w:szCs w:val="20"/>
        </w:rPr>
        <w:t>XYZ polohovací systém pro vakuovou komoru</w:t>
      </w:r>
      <w:r w:rsidR="00B0129C">
        <w:rPr>
          <w:rFonts w:ascii="Verdana" w:hAnsi="Verdana"/>
          <w:b/>
          <w:sz w:val="20"/>
          <w:szCs w:val="20"/>
        </w:rPr>
        <w:t xml:space="preserve">“.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1F5C5C">
        <w:rPr>
          <w:rFonts w:ascii="Verdana" w:hAnsi="Verdana"/>
          <w:sz w:val="20"/>
          <w:szCs w:val="20"/>
          <w:lang w:eastAsia="x-none"/>
        </w:rPr>
        <w:t xml:space="preserve"> </w:t>
      </w:r>
      <w:r w:rsidR="00A67FCE" w:rsidRPr="00A67FCE">
        <w:rPr>
          <w:rFonts w:ascii="Verdana" w:hAnsi="Verdana"/>
          <w:b/>
          <w:sz w:val="20"/>
          <w:szCs w:val="20"/>
          <w:lang w:eastAsia="x-none"/>
        </w:rPr>
        <w:t>2</w:t>
      </w:r>
      <w:r w:rsidR="004E215F">
        <w:rPr>
          <w:rFonts w:ascii="Verdana" w:hAnsi="Verdana"/>
          <w:b/>
          <w:sz w:val="20"/>
          <w:szCs w:val="20"/>
          <w:lang w:eastAsia="x-none"/>
        </w:rPr>
        <w:t>1</w:t>
      </w:r>
      <w:r w:rsidR="00A67FCE" w:rsidRPr="00A67FCE">
        <w:rPr>
          <w:rFonts w:ascii="Verdana" w:hAnsi="Verdana"/>
          <w:b/>
          <w:sz w:val="20"/>
          <w:szCs w:val="20"/>
          <w:lang w:eastAsia="x-none"/>
        </w:rPr>
        <w:t xml:space="preserve">. srpna 2014 do 11:00 </w:t>
      </w:r>
      <w:proofErr w:type="gramStart"/>
      <w:r w:rsidR="00A67FCE" w:rsidRPr="00A67FCE">
        <w:rPr>
          <w:rFonts w:ascii="Verdana" w:hAnsi="Verdana"/>
          <w:b/>
          <w:sz w:val="20"/>
          <w:szCs w:val="20"/>
          <w:lang w:eastAsia="x-none"/>
        </w:rPr>
        <w:t>hodin</w:t>
      </w:r>
      <w:r w:rsidR="00D72C86" w:rsidRPr="00A67FCE">
        <w:rPr>
          <w:rFonts w:ascii="Verdana" w:hAnsi="Verdana"/>
          <w:b/>
          <w:color w:val="FF0000"/>
          <w:sz w:val="20"/>
          <w:szCs w:val="20"/>
          <w:lang w:eastAsia="x-none"/>
        </w:rPr>
        <w:t xml:space="preserve"> </w:t>
      </w:r>
      <w:r w:rsidR="001A3487" w:rsidRPr="003F6D53">
        <w:rPr>
          <w:rFonts w:ascii="Verdana" w:hAnsi="Verdana"/>
          <w:color w:val="FF0000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</w:t>
      </w:r>
      <w:proofErr w:type="gramEnd"/>
      <w:r w:rsidR="005239B4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</w:t>
      </w:r>
      <w:r w:rsidRPr="00181812">
        <w:rPr>
          <w:rFonts w:ascii="Verdana" w:hAnsi="Verdana"/>
          <w:sz w:val="20"/>
        </w:rPr>
        <w:lastRenderedPageBreak/>
        <w:t xml:space="preserve">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 </w:t>
      </w:r>
      <w:r w:rsidR="00A16FEE">
        <w:rPr>
          <w:rFonts w:ascii="Verdana" w:hAnsi="Verdana"/>
          <w:sz w:val="20"/>
          <w:szCs w:val="20"/>
        </w:rPr>
        <w:t xml:space="preserve">polohovacího systému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1C63A7">
        <w:rPr>
          <w:rFonts w:ascii="Verdana" w:hAnsi="Verdana"/>
          <w:sz w:val="20"/>
          <w:szCs w:val="20"/>
        </w:rPr>
        <w:t xml:space="preserve"> </w:t>
      </w:r>
      <w:r w:rsidR="00A16FEE">
        <w:rPr>
          <w:rFonts w:ascii="Verdana" w:hAnsi="Verdana"/>
          <w:sz w:val="20"/>
          <w:szCs w:val="20"/>
        </w:rPr>
        <w:t>1.</w:t>
      </w:r>
      <w:r w:rsidR="00502053" w:rsidRPr="00E760A1">
        <w:rPr>
          <w:rFonts w:ascii="Verdana" w:hAnsi="Verdana"/>
          <w:sz w:val="20"/>
          <w:szCs w:val="20"/>
        </w:rPr>
        <w:t>5</w:t>
      </w:r>
      <w:r w:rsidR="008279A2" w:rsidRPr="00E760A1">
        <w:rPr>
          <w:rFonts w:ascii="Verdana" w:hAnsi="Verdana"/>
          <w:sz w:val="20"/>
          <w:szCs w:val="20"/>
        </w:rPr>
        <w:t>00 000</w:t>
      </w:r>
      <w:r w:rsidRPr="00E760A1">
        <w:rPr>
          <w:rFonts w:ascii="Verdana" w:hAnsi="Verdana"/>
          <w:sz w:val="20"/>
          <w:szCs w:val="20"/>
        </w:rPr>
        <w:t>,-Kč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3A7106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4F500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F5001">
        <w:rPr>
          <w:rFonts w:ascii="Verdana" w:hAnsi="Verdana"/>
          <w:sz w:val="20"/>
          <w:szCs w:val="20"/>
        </w:rPr>
        <w:t>Předpokládaná hodnota zakázky bez DPH</w:t>
      </w:r>
      <w:r w:rsidR="00B46DF3" w:rsidRPr="004F5001">
        <w:rPr>
          <w:rFonts w:ascii="Verdana" w:hAnsi="Verdana"/>
          <w:sz w:val="20"/>
          <w:szCs w:val="20"/>
        </w:rPr>
        <w:t xml:space="preserve"> nepřekračuje</w:t>
      </w:r>
      <w:r w:rsidRPr="004F5001">
        <w:rPr>
          <w:rFonts w:ascii="Verdana" w:hAnsi="Verdana"/>
          <w:sz w:val="20"/>
          <w:szCs w:val="20"/>
        </w:rPr>
        <w:t xml:space="preserve"> </w:t>
      </w:r>
      <w:r w:rsidR="00A67FCE" w:rsidRPr="004F5001">
        <w:rPr>
          <w:rFonts w:ascii="Verdana" w:hAnsi="Verdana"/>
          <w:sz w:val="20"/>
          <w:szCs w:val="20"/>
        </w:rPr>
        <w:t>1.900.000,-</w:t>
      </w:r>
      <w:proofErr w:type="gramStart"/>
      <w:r w:rsidR="00A67FCE" w:rsidRPr="004F5001">
        <w:rPr>
          <w:rFonts w:ascii="Verdana" w:hAnsi="Verdana"/>
          <w:sz w:val="20"/>
          <w:szCs w:val="20"/>
        </w:rPr>
        <w:t xml:space="preserve">Kč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DF3" w:rsidRPr="004F5001">
        <w:rPr>
          <w:rFonts w:ascii="Verdana" w:hAnsi="Verdana"/>
          <w:sz w:val="20"/>
          <w:szCs w:val="20"/>
        </w:rPr>
        <w:t xml:space="preserve"> </w:t>
      </w:r>
      <w:r w:rsidRPr="004F5001">
        <w:rPr>
          <w:rFonts w:ascii="Verdana" w:hAnsi="Verdana"/>
          <w:sz w:val="20"/>
          <w:szCs w:val="20"/>
        </w:rPr>
        <w:t>(slovy</w:t>
      </w:r>
      <w:proofErr w:type="gramEnd"/>
      <w:r w:rsidRPr="004F5001">
        <w:rPr>
          <w:rFonts w:ascii="Verdana" w:hAnsi="Verdana"/>
          <w:sz w:val="20"/>
          <w:szCs w:val="20"/>
        </w:rPr>
        <w:t>:</w:t>
      </w:r>
      <w:r w:rsidR="00471BEA" w:rsidRPr="004F5001">
        <w:rPr>
          <w:rFonts w:ascii="Verdana" w:hAnsi="Verdana"/>
          <w:sz w:val="20"/>
          <w:szCs w:val="20"/>
        </w:rPr>
        <w:t xml:space="preserve"> </w:t>
      </w:r>
      <w:r w:rsidR="00A16FE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4F5001" w:rsidRPr="004F5001">
        <w:rPr>
          <w:rFonts w:ascii="Verdana" w:hAnsi="Verdana"/>
          <w:sz w:val="20"/>
          <w:szCs w:val="20"/>
        </w:rPr>
        <w:t>jeden milión devět set tisíc</w:t>
      </w:r>
      <w:r w:rsidR="00471BEA" w:rsidRPr="004F5001">
        <w:rPr>
          <w:rFonts w:ascii="Verdana" w:hAnsi="Verdana"/>
          <w:sz w:val="20"/>
          <w:szCs w:val="20"/>
        </w:rPr>
        <w:t xml:space="preserve"> korun českých</w:t>
      </w:r>
      <w:r w:rsidR="00E162D1" w:rsidRPr="004F5001">
        <w:rPr>
          <w:rFonts w:ascii="Verdana" w:hAnsi="Verdana"/>
          <w:sz w:val="20"/>
          <w:szCs w:val="20"/>
        </w:rPr>
        <w:t>).</w:t>
      </w:r>
    </w:p>
    <w:p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r w:rsidRPr="00596C45">
        <w:rPr>
          <w:rFonts w:ascii="Verdana" w:hAnsi="Verdana"/>
          <w:sz w:val="20"/>
          <w:szCs w:val="20"/>
        </w:rPr>
        <w:t xml:space="preserve">nežli </w:t>
      </w:r>
      <w:r w:rsidR="00320A8C" w:rsidRPr="00596C45">
        <w:rPr>
          <w:rFonts w:ascii="Verdana" w:hAnsi="Verdana"/>
          <w:sz w:val="20"/>
          <w:szCs w:val="20"/>
        </w:rPr>
        <w:t xml:space="preserve">je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nežli předpokládaná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63804" w:rsidRDefault="00F6380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4353" w:rsidRPr="00596C45" w:rsidRDefault="00164353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5C5D05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5C5D05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4D5B3B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A87201">
        <w:rPr>
          <w:rFonts w:ascii="Verdana" w:hAnsi="Verdana"/>
          <w:sz w:val="20"/>
          <w:szCs w:val="20"/>
        </w:rPr>
        <w:t xml:space="preserve">dodávku </w:t>
      </w:r>
      <w:r w:rsidR="003F6968">
        <w:rPr>
          <w:rFonts w:ascii="Verdana" w:hAnsi="Verdana"/>
          <w:sz w:val="20"/>
          <w:szCs w:val="20"/>
        </w:rPr>
        <w:t>polohovacího sytému</w:t>
      </w:r>
      <w:r w:rsidR="00A87201" w:rsidRPr="00A87201">
        <w:rPr>
          <w:rFonts w:ascii="Verdana" w:hAnsi="Verdana"/>
          <w:sz w:val="20"/>
          <w:szCs w:val="20"/>
        </w:rPr>
        <w:t>.</w:t>
      </w:r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4F5001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F5001">
        <w:rPr>
          <w:rFonts w:ascii="Verdana" w:hAnsi="Verdana"/>
          <w:b/>
          <w:sz w:val="20"/>
          <w:szCs w:val="20"/>
        </w:rPr>
        <w:t xml:space="preserve">Celková </w:t>
      </w:r>
      <w:r w:rsidR="00164353" w:rsidRPr="004F5001">
        <w:rPr>
          <w:rFonts w:ascii="Verdana" w:hAnsi="Verdana"/>
          <w:b/>
          <w:sz w:val="20"/>
          <w:szCs w:val="20"/>
        </w:rPr>
        <w:t>nabídková cena bez DPH v Kč</w:t>
      </w:r>
      <w:r w:rsidR="00164353" w:rsidRPr="004F5001">
        <w:rPr>
          <w:rFonts w:ascii="Verdana" w:hAnsi="Verdana"/>
          <w:b/>
          <w:sz w:val="20"/>
          <w:szCs w:val="20"/>
        </w:rPr>
        <w:tab/>
      </w:r>
      <w:r w:rsidR="00164353" w:rsidRPr="004F5001">
        <w:rPr>
          <w:rFonts w:ascii="Verdana" w:hAnsi="Verdana"/>
          <w:b/>
          <w:sz w:val="20"/>
          <w:szCs w:val="20"/>
        </w:rPr>
        <w:tab/>
      </w:r>
      <w:r w:rsidR="00164353" w:rsidRPr="004F5001">
        <w:rPr>
          <w:rFonts w:ascii="Verdana" w:hAnsi="Verdana"/>
          <w:b/>
          <w:sz w:val="20"/>
          <w:szCs w:val="20"/>
        </w:rPr>
        <w:tab/>
      </w:r>
      <w:r w:rsidR="00164353" w:rsidRPr="004F5001">
        <w:rPr>
          <w:rFonts w:ascii="Verdana" w:hAnsi="Verdana"/>
          <w:b/>
          <w:sz w:val="20"/>
          <w:szCs w:val="20"/>
        </w:rPr>
        <w:tab/>
      </w:r>
      <w:r w:rsidR="00164353" w:rsidRPr="004F5001">
        <w:rPr>
          <w:rFonts w:ascii="Verdana" w:hAnsi="Verdana"/>
          <w:b/>
          <w:sz w:val="20"/>
          <w:szCs w:val="20"/>
        </w:rPr>
        <w:tab/>
      </w:r>
      <w:r w:rsidR="00471BEA" w:rsidRPr="004F5001">
        <w:rPr>
          <w:rFonts w:ascii="Verdana" w:hAnsi="Verdana"/>
          <w:b/>
          <w:sz w:val="20"/>
          <w:szCs w:val="20"/>
        </w:rPr>
        <w:t>100</w:t>
      </w:r>
      <w:r w:rsidRPr="004F5001">
        <w:rPr>
          <w:rFonts w:ascii="Verdana" w:hAnsi="Verdana"/>
          <w:b/>
          <w:sz w:val="20"/>
          <w:szCs w:val="20"/>
        </w:rPr>
        <w:t xml:space="preserve"> %</w:t>
      </w:r>
      <w:r w:rsidR="00164353" w:rsidRPr="004F5001">
        <w:rPr>
          <w:rFonts w:ascii="Verdana" w:hAnsi="Verdana"/>
          <w:b/>
          <w:sz w:val="20"/>
          <w:szCs w:val="20"/>
        </w:rPr>
        <w:tab/>
      </w:r>
    </w:p>
    <w:p w:rsidR="00471BEA" w:rsidRPr="004F5001" w:rsidRDefault="00471BEA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164353" w:rsidRPr="00E162D1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Pr="00E162D1">
        <w:rPr>
          <w:rFonts w:ascii="Verdana" w:hAnsi="Verdana"/>
          <w:b/>
          <w:sz w:val="20"/>
          <w:szCs w:val="20"/>
        </w:rPr>
        <w:t>„</w:t>
      </w:r>
      <w:r w:rsidR="00471BEA">
        <w:rPr>
          <w:rFonts w:ascii="Verdana" w:hAnsi="Verdana"/>
          <w:b/>
          <w:sz w:val="20"/>
          <w:szCs w:val="20"/>
        </w:rPr>
        <w:t xml:space="preserve">Motorizovaný </w:t>
      </w:r>
      <w:r w:rsidR="003F6968">
        <w:rPr>
          <w:rFonts w:ascii="Verdana" w:hAnsi="Verdana" w:cs="Calibri"/>
          <w:b/>
          <w:sz w:val="20"/>
          <w:szCs w:val="20"/>
        </w:rPr>
        <w:t>XYZ polohovací sytém pro vakuovou komoru</w:t>
      </w:r>
      <w:r w:rsidR="00A87201">
        <w:rPr>
          <w:rFonts w:ascii="Verdana" w:hAnsi="Verdana"/>
          <w:b/>
          <w:sz w:val="20"/>
          <w:szCs w:val="20"/>
        </w:rPr>
        <w:t>“</w:t>
      </w:r>
      <w:r w:rsidR="00164353" w:rsidRPr="00E162D1">
        <w:rPr>
          <w:rFonts w:ascii="Verdana" w:hAnsi="Verdana"/>
          <w:sz w:val="20"/>
          <w:szCs w:val="20"/>
        </w:rPr>
        <w:t xml:space="preserve">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</w:t>
      </w:r>
      <w:r w:rsidRPr="00697320">
        <w:rPr>
          <w:rFonts w:ascii="Verdana" w:hAnsi="Verdana"/>
          <w:sz w:val="20"/>
          <w:szCs w:val="20"/>
        </w:rPr>
        <w:lastRenderedPageBreak/>
        <w:t>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</w:t>
      </w:r>
      <w:proofErr w:type="gramStart"/>
      <w:r w:rsidRPr="009934C5">
        <w:rPr>
          <w:rFonts w:ascii="Verdana" w:hAnsi="Verdana"/>
          <w:sz w:val="20"/>
        </w:rPr>
        <w:t xml:space="preserve">příloha č 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>).</w:t>
      </w:r>
      <w:proofErr w:type="gramEnd"/>
      <w:r w:rsidRPr="009934C5">
        <w:rPr>
          <w:rFonts w:ascii="Verdana" w:hAnsi="Verdana"/>
          <w:sz w:val="20"/>
        </w:rPr>
        <w:t xml:space="preserve">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4F5001" w:rsidRPr="004F5001">
        <w:rPr>
          <w:rFonts w:ascii="Verdana" w:hAnsi="Verdana"/>
          <w:b/>
          <w:sz w:val="20"/>
          <w:lang w:eastAsia="x-none"/>
        </w:rPr>
        <w:t>2</w:t>
      </w:r>
      <w:r w:rsidR="004E215F">
        <w:rPr>
          <w:rFonts w:ascii="Verdana" w:hAnsi="Verdana"/>
          <w:b/>
          <w:sz w:val="20"/>
          <w:lang w:eastAsia="x-none"/>
        </w:rPr>
        <w:t>1</w:t>
      </w:r>
      <w:r w:rsidR="004F5001" w:rsidRPr="004F5001">
        <w:rPr>
          <w:rFonts w:ascii="Verdana" w:hAnsi="Verdana"/>
          <w:b/>
          <w:sz w:val="20"/>
          <w:lang w:eastAsia="x-none"/>
        </w:rPr>
        <w:t>. srpna 2014</w:t>
      </w:r>
      <w:r w:rsidR="000D05E4" w:rsidRPr="004F5001">
        <w:rPr>
          <w:rFonts w:ascii="Verdana" w:hAnsi="Verdana"/>
          <w:b/>
          <w:color w:val="FF0000"/>
          <w:sz w:val="20"/>
          <w:lang w:eastAsia="x-none"/>
        </w:rPr>
        <w:t xml:space="preserve"> </w:t>
      </w:r>
      <w:r w:rsidR="000D05E4" w:rsidRPr="004F5001">
        <w:rPr>
          <w:rFonts w:ascii="Verdana" w:hAnsi="Verdana"/>
          <w:b/>
          <w:sz w:val="20"/>
          <w:lang w:eastAsia="x-none"/>
        </w:rPr>
        <w:t>v 11:00 hod.</w:t>
      </w:r>
      <w:r w:rsidR="00434133" w:rsidRPr="004F5001">
        <w:rPr>
          <w:rFonts w:ascii="Verdana" w:hAnsi="Verdana"/>
          <w:sz w:val="20"/>
          <w:lang w:val="x-none"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 xml:space="preserve">Závazný </w:t>
      </w:r>
      <w:proofErr w:type="gramStart"/>
      <w:r w:rsidRPr="00E97312">
        <w:rPr>
          <w:rFonts w:ascii="Verdana" w:hAnsi="Verdana"/>
          <w:sz w:val="20"/>
          <w:szCs w:val="20"/>
        </w:rPr>
        <w:t xml:space="preserve">návrh </w:t>
      </w:r>
      <w:r w:rsidR="007E0CCC">
        <w:rPr>
          <w:rFonts w:ascii="Verdana" w:hAnsi="Verdana"/>
          <w:sz w:val="20"/>
          <w:szCs w:val="20"/>
        </w:rPr>
        <w:t xml:space="preserve"> kupní</w:t>
      </w:r>
      <w:proofErr w:type="gramEnd"/>
      <w:r w:rsidR="007E0CCC">
        <w:rPr>
          <w:rFonts w:ascii="Verdana" w:hAnsi="Verdana"/>
          <w:sz w:val="20"/>
          <w:szCs w:val="20"/>
        </w:rPr>
        <w:t xml:space="preserve">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0332C4" w:rsidRPr="004F5001" w:rsidRDefault="007936EE" w:rsidP="007936EE">
      <w:pPr>
        <w:pStyle w:val="Zkladntext"/>
        <w:rPr>
          <w:rFonts w:ascii="Verdana" w:hAnsi="Verdana"/>
        </w:rPr>
      </w:pPr>
      <w:r w:rsidRPr="004F5001">
        <w:rPr>
          <w:rFonts w:ascii="Verdana" w:hAnsi="Verdana"/>
        </w:rPr>
        <w:t>Dne</w:t>
      </w:r>
      <w:r w:rsidR="00F571BA" w:rsidRPr="004F5001">
        <w:rPr>
          <w:rFonts w:ascii="Verdana" w:hAnsi="Verdana"/>
        </w:rPr>
        <w:t xml:space="preserve"> </w:t>
      </w:r>
      <w:r w:rsidR="004F5001" w:rsidRPr="004F5001">
        <w:rPr>
          <w:rFonts w:ascii="Verdana" w:hAnsi="Verdana"/>
        </w:rPr>
        <w:t xml:space="preserve">8. </w:t>
      </w:r>
      <w:r w:rsidR="004E215F">
        <w:rPr>
          <w:rFonts w:ascii="Verdana" w:hAnsi="Verdana"/>
        </w:rPr>
        <w:t>s</w:t>
      </w:r>
      <w:r w:rsidR="004F5001" w:rsidRPr="004F5001">
        <w:rPr>
          <w:rFonts w:ascii="Verdana" w:hAnsi="Verdana"/>
        </w:rPr>
        <w:t>rpna 2014</w:t>
      </w:r>
    </w:p>
    <w:p w:rsidR="000332C4" w:rsidRPr="004F5001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</w:pPr>
    </w:p>
    <w:p w:rsidR="0084047E" w:rsidRDefault="0084047E" w:rsidP="007936EE">
      <w:pPr>
        <w:pStyle w:val="Zkladntext2"/>
        <w:rPr>
          <w:b/>
        </w:rPr>
      </w:pPr>
    </w:p>
    <w:p w:rsidR="007936EE" w:rsidRDefault="007936EE" w:rsidP="007936EE">
      <w:pPr>
        <w:pStyle w:val="Zkladntext2"/>
        <w:rPr>
          <w:b/>
        </w:rPr>
      </w:pPr>
      <w:r>
        <w:rPr>
          <w:b/>
        </w:rPr>
        <w:lastRenderedPageBreak/>
        <w:t>Příloha č. 1</w:t>
      </w:r>
    </w:p>
    <w:p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A87201" w:rsidRPr="001D0F20" w:rsidRDefault="007936EE" w:rsidP="003F6D53">
      <w:pPr>
        <w:ind w:left="2835" w:hanging="283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A87201" w:rsidRPr="001D0F20">
        <w:rPr>
          <w:rFonts w:ascii="Verdana" w:hAnsi="Verdana" w:cs="Calibri"/>
          <w:b/>
          <w:sz w:val="20"/>
          <w:szCs w:val="20"/>
        </w:rPr>
        <w:t>„</w:t>
      </w:r>
      <w:r w:rsidR="003F6D53">
        <w:rPr>
          <w:rFonts w:ascii="Verdana" w:hAnsi="Verdana" w:cs="Calibri"/>
          <w:b/>
          <w:sz w:val="20"/>
          <w:szCs w:val="20"/>
        </w:rPr>
        <w:t>Motorizovaný XYZ polohovací systém pro vakuovou komoru</w:t>
      </w:r>
      <w:r w:rsidR="00A87201">
        <w:rPr>
          <w:rFonts w:ascii="Verdana" w:hAnsi="Verdana"/>
          <w:b/>
          <w:sz w:val="20"/>
          <w:szCs w:val="20"/>
        </w:rPr>
        <w:t>“</w:t>
      </w:r>
    </w:p>
    <w:p w:rsidR="007936EE" w:rsidRDefault="007936EE" w:rsidP="007936EE">
      <w:pPr>
        <w:spacing w:after="0"/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v.v.</w:t>
      </w:r>
      <w:proofErr w:type="gramEnd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proofErr w:type="gramStart"/>
      <w:r w:rsidR="00C177FE" w:rsidRPr="00C177FE">
        <w:rPr>
          <w:rFonts w:ascii="Verdana" w:hAnsi="Verdana"/>
          <w:sz w:val="20"/>
          <w:szCs w:val="20"/>
        </w:rPr>
        <w:t>prof.</w:t>
      </w:r>
      <w:r w:rsidR="00C177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</w:t>
      </w:r>
      <w:proofErr w:type="gramEnd"/>
      <w:r>
        <w:rPr>
          <w:rFonts w:ascii="Verdana" w:hAnsi="Verdana" w:cs="Arial"/>
          <w:sz w:val="20"/>
          <w:szCs w:val="20"/>
        </w:rPr>
        <w:t xml:space="preserve">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1640B" w:rsidRPr="00C93E02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Příloha č. 2 </w:t>
      </w:r>
      <w:r w:rsidR="00D1640B" w:rsidRPr="00C93E02">
        <w:rPr>
          <w:rFonts w:ascii="Verdana" w:hAnsi="Verdana"/>
          <w:b/>
          <w:sz w:val="28"/>
          <w:szCs w:val="28"/>
        </w:rPr>
        <w:t>Čestné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</w:t>
      </w:r>
      <w:r w:rsidRPr="007662F6">
        <w:rPr>
          <w:rFonts w:ascii="Verdana" w:hAnsi="Verdana"/>
          <w:sz w:val="18"/>
          <w:szCs w:val="18"/>
        </w:rPr>
        <w:lastRenderedPageBreak/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8E5BF6">
        <w:rPr>
          <w:rFonts w:ascii="Verdana" w:hAnsi="Verdana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471BEA" w:rsidRDefault="00471BEA" w:rsidP="00BE1DDD">
      <w:pPr>
        <w:pStyle w:val="Nadpis4"/>
        <w:rPr>
          <w:b w:val="0"/>
          <w:bCs w:val="0"/>
          <w:sz w:val="24"/>
          <w:szCs w:val="24"/>
        </w:rPr>
      </w:pPr>
    </w:p>
    <w:p w:rsidR="004E215F" w:rsidRPr="004E215F" w:rsidRDefault="00A16FEE" w:rsidP="004E215F">
      <w:r>
        <w:t xml:space="preserve"> </w:t>
      </w:r>
    </w:p>
    <w:p w:rsidR="00616405" w:rsidRDefault="00D60667" w:rsidP="00BE1DDD">
      <w:pPr>
        <w:pStyle w:val="Nadpis4"/>
        <w:rPr>
          <w:rFonts w:ascii="Verdana" w:hAnsi="Verdana"/>
          <w:sz w:val="20"/>
          <w:szCs w:val="20"/>
        </w:rPr>
      </w:pPr>
      <w:proofErr w:type="gramStart"/>
      <w:r w:rsidRPr="00AB4F34">
        <w:rPr>
          <w:rFonts w:ascii="Verdana" w:hAnsi="Verdana"/>
          <w:sz w:val="20"/>
          <w:szCs w:val="20"/>
        </w:rPr>
        <w:lastRenderedPageBreak/>
        <w:t xml:space="preserve">Příloha </w:t>
      </w:r>
      <w:r w:rsidR="00C6454A">
        <w:rPr>
          <w:rFonts w:ascii="Verdana" w:hAnsi="Verdana"/>
          <w:sz w:val="20"/>
          <w:szCs w:val="20"/>
        </w:rPr>
        <w:t xml:space="preserve"> </w:t>
      </w:r>
      <w:r w:rsidRPr="00AB4F34">
        <w:rPr>
          <w:rFonts w:ascii="Verdana" w:hAnsi="Verdana"/>
          <w:sz w:val="20"/>
          <w:szCs w:val="20"/>
        </w:rPr>
        <w:t>č.</w:t>
      </w:r>
      <w:proofErr w:type="gramEnd"/>
      <w:r w:rsidRPr="00AB4F34">
        <w:rPr>
          <w:rFonts w:ascii="Verdana" w:hAnsi="Verdana"/>
          <w:sz w:val="20"/>
          <w:szCs w:val="20"/>
        </w:rPr>
        <w:t xml:space="preserve"> </w:t>
      </w:r>
      <w:r w:rsidR="008E5BF6" w:rsidRPr="00AB4F34">
        <w:rPr>
          <w:rFonts w:ascii="Verdana" w:hAnsi="Verdana"/>
          <w:sz w:val="20"/>
          <w:szCs w:val="20"/>
        </w:rPr>
        <w:t>4</w:t>
      </w:r>
      <w:r w:rsidR="0084243C" w:rsidRPr="00AB4F34">
        <w:rPr>
          <w:rFonts w:ascii="Verdana" w:hAnsi="Verdana"/>
          <w:sz w:val="20"/>
          <w:szCs w:val="20"/>
        </w:rPr>
        <w:t xml:space="preserve"> </w:t>
      </w:r>
      <w:r w:rsidR="00AB4F34">
        <w:rPr>
          <w:rFonts w:ascii="Verdana" w:hAnsi="Verdana"/>
          <w:sz w:val="20"/>
          <w:szCs w:val="20"/>
        </w:rPr>
        <w:t xml:space="preserve"> Technické </w:t>
      </w:r>
      <w:r w:rsidR="00A87201">
        <w:rPr>
          <w:rFonts w:ascii="Verdana" w:hAnsi="Verdana"/>
          <w:sz w:val="20"/>
          <w:szCs w:val="20"/>
        </w:rPr>
        <w:t xml:space="preserve"> </w:t>
      </w:r>
      <w:r w:rsidR="00AB4F34">
        <w:rPr>
          <w:rFonts w:ascii="Verdana" w:hAnsi="Verdana"/>
          <w:sz w:val="20"/>
          <w:szCs w:val="20"/>
        </w:rPr>
        <w:t xml:space="preserve">specifikace </w:t>
      </w:r>
    </w:p>
    <w:tbl>
      <w:tblPr>
        <w:tblW w:w="10000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7203"/>
      </w:tblGrid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  <w:t>Parametr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  <w:t>Požadovaná vlastnost, hodnota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Osy pohybu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Lineární XY</w:t>
            </w:r>
          </w:p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Rotační A</w:t>
            </w:r>
          </w:p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Lineární Z</w:t>
            </w:r>
          </w:p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Rotační B</w:t>
            </w:r>
            <w: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E215F" w:rsidTr="00F74EE5">
        <w:trPr>
          <w:trHeight w:val="51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Prostředí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Celý polohovací systém musí splňovat požadavky na umístění do vakua, min. 10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  <w:lang w:eastAsia="ja-JP"/>
              </w:rPr>
              <w:t>-6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mbar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Rozsahy pohybu na jednotlivých osách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DB2C75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XY minimálně 300 mm</w:t>
            </w:r>
          </w:p>
          <w:p w:rsidR="004E215F" w:rsidRPr="00DB2C75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Z minimálně 100 mm</w:t>
            </w:r>
          </w:p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AB Rotační osy ±360°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Konstrukce os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51179F">
              <w:rPr>
                <w:rFonts w:ascii="Verdana" w:hAnsi="Verdana" w:cs="Arial"/>
                <w:sz w:val="20"/>
                <w:szCs w:val="20"/>
                <w:lang w:eastAsia="ja-JP"/>
              </w:rPr>
              <w:t>Žádná součást nen</w:t>
            </w:r>
            <w:r>
              <w:rPr>
                <w:rFonts w:ascii="Verdana" w:hAnsi="Verdana" w:cs="Arial"/>
                <w:sz w:val="20"/>
                <w:szCs w:val="20"/>
                <w:lang w:eastAsia="ja-JP"/>
              </w:rPr>
              <w:t>í výše než plocha plotny stolku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Ortogonalita os X a 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Osy X a Y musí být ortogonálně sesazené s přesností na 5arcsec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Rychlost pohybu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Minimálně 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1 m/s v ose X, Y (rychlost pohybu mimo vakuum)</w:t>
            </w:r>
          </w:p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Minimálně 0,1 m/s v ose Z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Maximální potřebné zrychlení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Minimálně 3 g (mimo vakuum)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F" w:rsidRPr="00A81ADF" w:rsidRDefault="004E215F" w:rsidP="00F74EE5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Nosnost: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A81ADF" w:rsidRDefault="004E215F" w:rsidP="00F74EE5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Horizontální nosnost sestavy XYA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A81ADF" w:rsidRDefault="004E215F" w:rsidP="00F74EE5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 xml:space="preserve">Min.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kg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A81ADF" w:rsidRDefault="004E215F" w:rsidP="00F74EE5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Vertikální nosnost sestavy ZB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A81ADF" w:rsidRDefault="004E215F" w:rsidP="00F74EE5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 xml:space="preserve">Min.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kg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F" w:rsidRPr="003C1160" w:rsidRDefault="004E215F" w:rsidP="00F74EE5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3C1160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Přesnost polohování: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 XY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&lt;5µm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Z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&lt;10µm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80arcsec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B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180arcsec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0209D4" w:rsidRDefault="004E215F" w:rsidP="00F74EE5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Rozlišení: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Rozlišení os XY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0,1µm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Rozlišení osy Z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0,001µm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0209D4" w:rsidRDefault="004E215F" w:rsidP="00F74EE5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0209D4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Opakovatelnost polohy</w:t>
            </w: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(obousměrná /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bi-directional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)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 XY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±0,75µm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Z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±0,75µm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A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8arcsec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B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Pr="00B04322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45arcsec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Záruka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Min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. 1 rok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Závity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Celý systém musí být metrický včetně závitů pro připevnění dalších komponent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Příslušenství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</w:rPr>
              <w:t xml:space="preserve">Součástí dodávky musí být veškeré kabely (napájecí, datové) a napájecí zdroje, které jsou nutné k napájení posuvu síťovým napětím 240 V AC. XY stůl musí být osazen koncovými spínači a </w:t>
            </w:r>
            <w:r w:rsidRPr="00B04322">
              <w:rPr>
                <w:lang w:eastAsia="sk-SK"/>
              </w:rPr>
              <w:t xml:space="preserve">součástí musí být </w:t>
            </w:r>
            <w:proofErr w:type="spellStart"/>
            <w:r w:rsidRPr="00B04322">
              <w:rPr>
                <w:lang w:eastAsia="sk-SK"/>
              </w:rPr>
              <w:t>kontroler</w:t>
            </w:r>
            <w:proofErr w:type="spellEnd"/>
            <w:r w:rsidRPr="00B04322">
              <w:rPr>
                <w:lang w:eastAsia="sk-SK"/>
              </w:rPr>
              <w:t xml:space="preserve"> pro řízení systému stolu umožňující řízení z PC plus veškeré kabely pro propojení systému s počítačem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Řídící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systém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383D91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Umožní řízení polohovacího systému pomocí </w:t>
            </w: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PC</w:t>
            </w:r>
            <w:r w:rsidRPr="00383D91">
              <w:rPr>
                <w:rFonts w:ascii="Verdana" w:hAnsi="Verdana" w:cs="Arial"/>
                <w:sz w:val="20"/>
                <w:szCs w:val="20"/>
                <w:lang w:eastAsia="ja-JP"/>
              </w:rPr>
              <w:t>, musí umožňovat vytvářet trajektorie pohybu stolu a načítání dat v DXF formátu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lastRenderedPageBreak/>
              <w:t>Programovací možnosti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Možnost programování v G/M kódu</w:t>
            </w:r>
          </w:p>
        </w:tc>
      </w:tr>
      <w:tr w:rsidR="004E215F" w:rsidTr="00F74EE5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Kalibrace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5F" w:rsidRDefault="004E215F" w:rsidP="00F74EE5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Systém musí být možno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zkalibrovat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 tím snížit lineární chybu a korekční data nahrát do řídící jednotky</w:t>
            </w:r>
          </w:p>
        </w:tc>
      </w:tr>
    </w:tbl>
    <w:p w:rsidR="004E215F" w:rsidRDefault="004E215F" w:rsidP="004E215F">
      <w:pPr>
        <w:pStyle w:val="Nadpis4"/>
        <w:rPr>
          <w:rFonts w:ascii="Verdana" w:hAnsi="Verdana"/>
        </w:rPr>
      </w:pPr>
    </w:p>
    <w:p w:rsidR="00A87201" w:rsidRPr="00A87201" w:rsidRDefault="00A87201" w:rsidP="00A87201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87201" w:rsidRPr="00A87201" w:rsidRDefault="00A87201" w:rsidP="00A87201">
      <w:pPr>
        <w:ind w:left="360"/>
        <w:rPr>
          <w:rFonts w:ascii="Verdana" w:hAnsi="Verdana"/>
          <w:sz w:val="20"/>
          <w:szCs w:val="20"/>
        </w:rPr>
      </w:pPr>
    </w:p>
    <w:p w:rsidR="00A87201" w:rsidRPr="00A87201" w:rsidRDefault="00A87201" w:rsidP="00A87201">
      <w:pPr>
        <w:rPr>
          <w:rFonts w:ascii="Verdana" w:hAnsi="Verdana"/>
          <w:sz w:val="20"/>
          <w:szCs w:val="20"/>
        </w:rPr>
      </w:pPr>
    </w:p>
    <w:p w:rsidR="004F4F46" w:rsidRPr="00A87201" w:rsidRDefault="004F4F46" w:rsidP="008A658F">
      <w:pPr>
        <w:pStyle w:val="Zkladntext2"/>
        <w:ind w:left="2520"/>
        <w:rPr>
          <w:rFonts w:ascii="Verdana" w:hAnsi="Verdana"/>
          <w:b/>
          <w:sz w:val="20"/>
          <w:szCs w:val="20"/>
        </w:rPr>
      </w:pPr>
    </w:p>
    <w:p w:rsidR="00AB4F34" w:rsidRPr="00AB4F34" w:rsidRDefault="00AB4F34" w:rsidP="008A658F">
      <w:pPr>
        <w:pStyle w:val="Zkladntext2"/>
        <w:ind w:left="2520"/>
        <w:rPr>
          <w:rFonts w:ascii="Verdana" w:hAnsi="Verdana"/>
          <w:b/>
          <w:sz w:val="20"/>
          <w:szCs w:val="20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DB2C75" w:rsidRDefault="00DB2C7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A16FEE" w:rsidRDefault="00A16FE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9F7A5A" w:rsidRPr="009F7A5A" w:rsidRDefault="004B227E" w:rsidP="009F7A5A">
      <w:pPr>
        <w:pStyle w:val="Zkladntext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492A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890AF3" w:rsidRDefault="009F7A5A" w:rsidP="009F7A5A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1" w:rsidRDefault="00136881">
      <w:r>
        <w:separator/>
      </w:r>
    </w:p>
  </w:endnote>
  <w:endnote w:type="continuationSeparator" w:id="0">
    <w:p w:rsidR="00136881" w:rsidRDefault="0013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CB" w:rsidRDefault="001E6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A16FEE">
          <w:rPr>
            <w:rFonts w:ascii="Verdana" w:hAnsi="Verdana"/>
            <w:noProof/>
            <w:sz w:val="20"/>
            <w:szCs w:val="20"/>
          </w:rPr>
          <w:t>2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A16FEE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1" w:rsidRDefault="00136881">
      <w:r>
        <w:separator/>
      </w:r>
    </w:p>
  </w:footnote>
  <w:footnote w:type="continuationSeparator" w:id="0">
    <w:p w:rsidR="00136881" w:rsidRDefault="00136881">
      <w:r>
        <w:continuationSeparator/>
      </w:r>
    </w:p>
  </w:footnote>
  <w:footnote w:id="1">
    <w:p w:rsidR="009F7A5A" w:rsidRDefault="009F7A5A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13688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FEE">
      <w:rPr>
        <w:noProof/>
      </w:rPr>
      <w:t>2</w:t>
    </w:r>
    <w:r>
      <w:fldChar w:fldCharType="end"/>
    </w:r>
  </w:p>
  <w:p w:rsidR="00582597" w:rsidRDefault="00582597">
    <w:pPr>
      <w:pStyle w:val="Zhlav"/>
      <w:jc w:val="center"/>
    </w:pPr>
  </w:p>
  <w:p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</w:pPr>
  </w:p>
  <w:p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5"/>
  </w:num>
  <w:num w:numId="19">
    <w:abstractNumId w:val="1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332C4"/>
    <w:rsid w:val="00034A93"/>
    <w:rsid w:val="0003798C"/>
    <w:rsid w:val="00042809"/>
    <w:rsid w:val="000473BE"/>
    <w:rsid w:val="00056940"/>
    <w:rsid w:val="00072C3D"/>
    <w:rsid w:val="000752F2"/>
    <w:rsid w:val="00075CA3"/>
    <w:rsid w:val="00086B38"/>
    <w:rsid w:val="000A57CB"/>
    <w:rsid w:val="000A7357"/>
    <w:rsid w:val="000A7E37"/>
    <w:rsid w:val="000B2099"/>
    <w:rsid w:val="000B4937"/>
    <w:rsid w:val="000C4CFC"/>
    <w:rsid w:val="000C5CE3"/>
    <w:rsid w:val="000D05E4"/>
    <w:rsid w:val="000D0837"/>
    <w:rsid w:val="000D0901"/>
    <w:rsid w:val="000D2DD4"/>
    <w:rsid w:val="000D32CF"/>
    <w:rsid w:val="000D72CC"/>
    <w:rsid w:val="000E19E4"/>
    <w:rsid w:val="000E5FFB"/>
    <w:rsid w:val="00106014"/>
    <w:rsid w:val="0011256D"/>
    <w:rsid w:val="00120958"/>
    <w:rsid w:val="00136881"/>
    <w:rsid w:val="00143E81"/>
    <w:rsid w:val="00145F56"/>
    <w:rsid w:val="00164353"/>
    <w:rsid w:val="0017534B"/>
    <w:rsid w:val="001A3487"/>
    <w:rsid w:val="001A65B1"/>
    <w:rsid w:val="001B5362"/>
    <w:rsid w:val="001C3670"/>
    <w:rsid w:val="001C57C8"/>
    <w:rsid w:val="001C63A7"/>
    <w:rsid w:val="001C68F0"/>
    <w:rsid w:val="001D02FC"/>
    <w:rsid w:val="001D0F20"/>
    <w:rsid w:val="001D1863"/>
    <w:rsid w:val="001E1E73"/>
    <w:rsid w:val="001E32A3"/>
    <w:rsid w:val="001E4F37"/>
    <w:rsid w:val="001E69CB"/>
    <w:rsid w:val="001F5C5C"/>
    <w:rsid w:val="00202C11"/>
    <w:rsid w:val="00206D03"/>
    <w:rsid w:val="00217A43"/>
    <w:rsid w:val="002245FE"/>
    <w:rsid w:val="0023116A"/>
    <w:rsid w:val="00232293"/>
    <w:rsid w:val="00234D85"/>
    <w:rsid w:val="002452E3"/>
    <w:rsid w:val="002526C6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948E5"/>
    <w:rsid w:val="00297215"/>
    <w:rsid w:val="002A0561"/>
    <w:rsid w:val="002A2F9C"/>
    <w:rsid w:val="002A4761"/>
    <w:rsid w:val="002B3DF6"/>
    <w:rsid w:val="002B7509"/>
    <w:rsid w:val="002C320A"/>
    <w:rsid w:val="002D0526"/>
    <w:rsid w:val="002D239C"/>
    <w:rsid w:val="002E624E"/>
    <w:rsid w:val="003137A9"/>
    <w:rsid w:val="00315C39"/>
    <w:rsid w:val="00317743"/>
    <w:rsid w:val="00320A8C"/>
    <w:rsid w:val="00336FE1"/>
    <w:rsid w:val="00340A0C"/>
    <w:rsid w:val="00345F33"/>
    <w:rsid w:val="00346E1E"/>
    <w:rsid w:val="00354DF2"/>
    <w:rsid w:val="00356AE1"/>
    <w:rsid w:val="003664EB"/>
    <w:rsid w:val="00370216"/>
    <w:rsid w:val="00374F64"/>
    <w:rsid w:val="00386B6E"/>
    <w:rsid w:val="003874C3"/>
    <w:rsid w:val="003938CA"/>
    <w:rsid w:val="003A59FF"/>
    <w:rsid w:val="003A687F"/>
    <w:rsid w:val="003A7106"/>
    <w:rsid w:val="003C0D5F"/>
    <w:rsid w:val="003C4639"/>
    <w:rsid w:val="003D1457"/>
    <w:rsid w:val="003D16E9"/>
    <w:rsid w:val="003D34F9"/>
    <w:rsid w:val="003E7A83"/>
    <w:rsid w:val="003F6968"/>
    <w:rsid w:val="003F6D53"/>
    <w:rsid w:val="004013FC"/>
    <w:rsid w:val="00411484"/>
    <w:rsid w:val="0041406A"/>
    <w:rsid w:val="00416DBD"/>
    <w:rsid w:val="004335A2"/>
    <w:rsid w:val="00434133"/>
    <w:rsid w:val="004439DE"/>
    <w:rsid w:val="004528F9"/>
    <w:rsid w:val="0045638E"/>
    <w:rsid w:val="004629F6"/>
    <w:rsid w:val="0046407A"/>
    <w:rsid w:val="00470227"/>
    <w:rsid w:val="00471BEA"/>
    <w:rsid w:val="004823F1"/>
    <w:rsid w:val="0048594C"/>
    <w:rsid w:val="00490A26"/>
    <w:rsid w:val="00497613"/>
    <w:rsid w:val="004A054B"/>
    <w:rsid w:val="004B227E"/>
    <w:rsid w:val="004B349C"/>
    <w:rsid w:val="004B54C8"/>
    <w:rsid w:val="004B575E"/>
    <w:rsid w:val="004B7740"/>
    <w:rsid w:val="004C12CC"/>
    <w:rsid w:val="004C3655"/>
    <w:rsid w:val="004C4E28"/>
    <w:rsid w:val="004C51FA"/>
    <w:rsid w:val="004C5D5C"/>
    <w:rsid w:val="004C63E5"/>
    <w:rsid w:val="004D087D"/>
    <w:rsid w:val="004D204B"/>
    <w:rsid w:val="004D5B3B"/>
    <w:rsid w:val="004D5E42"/>
    <w:rsid w:val="004E215F"/>
    <w:rsid w:val="004E2C50"/>
    <w:rsid w:val="004E470D"/>
    <w:rsid w:val="004E6BCF"/>
    <w:rsid w:val="004F4F46"/>
    <w:rsid w:val="004F5001"/>
    <w:rsid w:val="00502053"/>
    <w:rsid w:val="0050542F"/>
    <w:rsid w:val="00506C0A"/>
    <w:rsid w:val="0051067C"/>
    <w:rsid w:val="00513FFA"/>
    <w:rsid w:val="0052093B"/>
    <w:rsid w:val="005239B4"/>
    <w:rsid w:val="005314F7"/>
    <w:rsid w:val="0053510A"/>
    <w:rsid w:val="005371B8"/>
    <w:rsid w:val="00566DB2"/>
    <w:rsid w:val="00582597"/>
    <w:rsid w:val="00583213"/>
    <w:rsid w:val="00584435"/>
    <w:rsid w:val="005969A3"/>
    <w:rsid w:val="00596C45"/>
    <w:rsid w:val="005A1322"/>
    <w:rsid w:val="005B1181"/>
    <w:rsid w:val="005B3518"/>
    <w:rsid w:val="005B3DCA"/>
    <w:rsid w:val="005E4207"/>
    <w:rsid w:val="005E795F"/>
    <w:rsid w:val="005F295F"/>
    <w:rsid w:val="005F2DA1"/>
    <w:rsid w:val="005F72AF"/>
    <w:rsid w:val="00616405"/>
    <w:rsid w:val="006168EF"/>
    <w:rsid w:val="00621A89"/>
    <w:rsid w:val="006238C4"/>
    <w:rsid w:val="00625851"/>
    <w:rsid w:val="00626C36"/>
    <w:rsid w:val="00642ECD"/>
    <w:rsid w:val="00647169"/>
    <w:rsid w:val="00653B01"/>
    <w:rsid w:val="006743EC"/>
    <w:rsid w:val="006A3BA2"/>
    <w:rsid w:val="006A4C10"/>
    <w:rsid w:val="006A7BB7"/>
    <w:rsid w:val="006B62BD"/>
    <w:rsid w:val="006E281A"/>
    <w:rsid w:val="006F6A7D"/>
    <w:rsid w:val="006F793E"/>
    <w:rsid w:val="00710904"/>
    <w:rsid w:val="0072070E"/>
    <w:rsid w:val="00735066"/>
    <w:rsid w:val="00735DC8"/>
    <w:rsid w:val="00736663"/>
    <w:rsid w:val="007368FB"/>
    <w:rsid w:val="0074420B"/>
    <w:rsid w:val="00752FC4"/>
    <w:rsid w:val="007606E3"/>
    <w:rsid w:val="00770610"/>
    <w:rsid w:val="00773F39"/>
    <w:rsid w:val="007936EE"/>
    <w:rsid w:val="00795380"/>
    <w:rsid w:val="007E0CCC"/>
    <w:rsid w:val="007E4F5E"/>
    <w:rsid w:val="007E55E8"/>
    <w:rsid w:val="007E6556"/>
    <w:rsid w:val="007F0F0E"/>
    <w:rsid w:val="007F44BE"/>
    <w:rsid w:val="007F6B0A"/>
    <w:rsid w:val="00802D27"/>
    <w:rsid w:val="00810E9B"/>
    <w:rsid w:val="008279A2"/>
    <w:rsid w:val="00831432"/>
    <w:rsid w:val="0084047E"/>
    <w:rsid w:val="0084243C"/>
    <w:rsid w:val="0084564F"/>
    <w:rsid w:val="00846591"/>
    <w:rsid w:val="0085118A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D1F71"/>
    <w:rsid w:val="008E5BF6"/>
    <w:rsid w:val="008F0F64"/>
    <w:rsid w:val="00901EBE"/>
    <w:rsid w:val="009021BB"/>
    <w:rsid w:val="00912C01"/>
    <w:rsid w:val="009134CD"/>
    <w:rsid w:val="00924C49"/>
    <w:rsid w:val="0093578C"/>
    <w:rsid w:val="009522CC"/>
    <w:rsid w:val="009568C2"/>
    <w:rsid w:val="0095702C"/>
    <w:rsid w:val="00971DB6"/>
    <w:rsid w:val="009721B1"/>
    <w:rsid w:val="00982311"/>
    <w:rsid w:val="00982E08"/>
    <w:rsid w:val="00992A2F"/>
    <w:rsid w:val="00992ECF"/>
    <w:rsid w:val="009934C5"/>
    <w:rsid w:val="009948FE"/>
    <w:rsid w:val="009A1865"/>
    <w:rsid w:val="009B6DF9"/>
    <w:rsid w:val="009B7DC1"/>
    <w:rsid w:val="009B7DF7"/>
    <w:rsid w:val="009C223D"/>
    <w:rsid w:val="009C4AB6"/>
    <w:rsid w:val="009D3F7D"/>
    <w:rsid w:val="009D59A7"/>
    <w:rsid w:val="009E2756"/>
    <w:rsid w:val="009E52C6"/>
    <w:rsid w:val="009E7EFB"/>
    <w:rsid w:val="009F559A"/>
    <w:rsid w:val="009F6575"/>
    <w:rsid w:val="009F7A5A"/>
    <w:rsid w:val="00A045B1"/>
    <w:rsid w:val="00A0692E"/>
    <w:rsid w:val="00A16FEE"/>
    <w:rsid w:val="00A54B37"/>
    <w:rsid w:val="00A64CA8"/>
    <w:rsid w:val="00A66D1F"/>
    <w:rsid w:val="00A67FCE"/>
    <w:rsid w:val="00A75A36"/>
    <w:rsid w:val="00A8060C"/>
    <w:rsid w:val="00A87201"/>
    <w:rsid w:val="00A91E7C"/>
    <w:rsid w:val="00AB23C4"/>
    <w:rsid w:val="00AB4F34"/>
    <w:rsid w:val="00AC255D"/>
    <w:rsid w:val="00AE7B77"/>
    <w:rsid w:val="00AF7E8A"/>
    <w:rsid w:val="00B00F2C"/>
    <w:rsid w:val="00B0129C"/>
    <w:rsid w:val="00B04322"/>
    <w:rsid w:val="00B27556"/>
    <w:rsid w:val="00B30BA1"/>
    <w:rsid w:val="00B36980"/>
    <w:rsid w:val="00B43DBD"/>
    <w:rsid w:val="00B46DF3"/>
    <w:rsid w:val="00B504B1"/>
    <w:rsid w:val="00B51286"/>
    <w:rsid w:val="00B65474"/>
    <w:rsid w:val="00B7249C"/>
    <w:rsid w:val="00B7591C"/>
    <w:rsid w:val="00B86025"/>
    <w:rsid w:val="00B87BA8"/>
    <w:rsid w:val="00B9060E"/>
    <w:rsid w:val="00B93BD9"/>
    <w:rsid w:val="00B93EF7"/>
    <w:rsid w:val="00B954CD"/>
    <w:rsid w:val="00BA219A"/>
    <w:rsid w:val="00BA23B2"/>
    <w:rsid w:val="00BA4AFD"/>
    <w:rsid w:val="00BA5965"/>
    <w:rsid w:val="00BB0B44"/>
    <w:rsid w:val="00BB6474"/>
    <w:rsid w:val="00BB712F"/>
    <w:rsid w:val="00BD197A"/>
    <w:rsid w:val="00BD3744"/>
    <w:rsid w:val="00BD5C01"/>
    <w:rsid w:val="00BE0FBF"/>
    <w:rsid w:val="00BE1DDD"/>
    <w:rsid w:val="00C04E90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A22C7"/>
    <w:rsid w:val="00CB0E41"/>
    <w:rsid w:val="00CB2ECB"/>
    <w:rsid w:val="00CB743F"/>
    <w:rsid w:val="00CD7387"/>
    <w:rsid w:val="00CE52B4"/>
    <w:rsid w:val="00CE5B56"/>
    <w:rsid w:val="00CE676B"/>
    <w:rsid w:val="00CF1C12"/>
    <w:rsid w:val="00D01EFE"/>
    <w:rsid w:val="00D0421E"/>
    <w:rsid w:val="00D11942"/>
    <w:rsid w:val="00D1640B"/>
    <w:rsid w:val="00D30ED6"/>
    <w:rsid w:val="00D450F1"/>
    <w:rsid w:val="00D4613D"/>
    <w:rsid w:val="00D47F2E"/>
    <w:rsid w:val="00D54957"/>
    <w:rsid w:val="00D54EF5"/>
    <w:rsid w:val="00D5794F"/>
    <w:rsid w:val="00D60667"/>
    <w:rsid w:val="00D61211"/>
    <w:rsid w:val="00D66D49"/>
    <w:rsid w:val="00D72C86"/>
    <w:rsid w:val="00D84602"/>
    <w:rsid w:val="00DA624B"/>
    <w:rsid w:val="00DB2C75"/>
    <w:rsid w:val="00DC76F3"/>
    <w:rsid w:val="00DD05DB"/>
    <w:rsid w:val="00DD0883"/>
    <w:rsid w:val="00DD6C6F"/>
    <w:rsid w:val="00DE54A7"/>
    <w:rsid w:val="00DF439E"/>
    <w:rsid w:val="00DF619D"/>
    <w:rsid w:val="00E007CB"/>
    <w:rsid w:val="00E05353"/>
    <w:rsid w:val="00E05779"/>
    <w:rsid w:val="00E05E78"/>
    <w:rsid w:val="00E162D1"/>
    <w:rsid w:val="00E220AF"/>
    <w:rsid w:val="00E23637"/>
    <w:rsid w:val="00E268E5"/>
    <w:rsid w:val="00E423A3"/>
    <w:rsid w:val="00E47F2E"/>
    <w:rsid w:val="00E51337"/>
    <w:rsid w:val="00E677D9"/>
    <w:rsid w:val="00E67B7A"/>
    <w:rsid w:val="00E724C2"/>
    <w:rsid w:val="00E742CE"/>
    <w:rsid w:val="00E75D5B"/>
    <w:rsid w:val="00E760A1"/>
    <w:rsid w:val="00E87464"/>
    <w:rsid w:val="00E97312"/>
    <w:rsid w:val="00EB6CD4"/>
    <w:rsid w:val="00EC5867"/>
    <w:rsid w:val="00ED11AC"/>
    <w:rsid w:val="00EE0CC4"/>
    <w:rsid w:val="00EE5CDA"/>
    <w:rsid w:val="00EE7953"/>
    <w:rsid w:val="00EF1C01"/>
    <w:rsid w:val="00EF7CC8"/>
    <w:rsid w:val="00F03613"/>
    <w:rsid w:val="00F2647B"/>
    <w:rsid w:val="00F31AE0"/>
    <w:rsid w:val="00F433FC"/>
    <w:rsid w:val="00F56E2A"/>
    <w:rsid w:val="00F571BA"/>
    <w:rsid w:val="00F63804"/>
    <w:rsid w:val="00F6670B"/>
    <w:rsid w:val="00F671EB"/>
    <w:rsid w:val="00F707E7"/>
    <w:rsid w:val="00F72E5B"/>
    <w:rsid w:val="00F82922"/>
    <w:rsid w:val="00F85794"/>
    <w:rsid w:val="00F909EC"/>
    <w:rsid w:val="00F94207"/>
    <w:rsid w:val="00F9671F"/>
    <w:rsid w:val="00FA55FF"/>
    <w:rsid w:val="00FB3B7B"/>
    <w:rsid w:val="00FC1445"/>
    <w:rsid w:val="00FD2335"/>
    <w:rsid w:val="00FD379E"/>
    <w:rsid w:val="00FD7235"/>
    <w:rsid w:val="00FE297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56F-0BC7-4D94-9DC2-2BA259D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3588</Words>
  <Characters>21173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¬  19</vt:lpstr>
      <vt:lpstr>V Praze dne ¬  19</vt:lpstr>
    </vt:vector>
  </TitlesOfParts>
  <Company>FZU AV CR</Company>
  <LinksUpToDate>false</LinksUpToDate>
  <CharactersWithSpaces>24712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4</cp:revision>
  <cp:lastPrinted>2014-08-01T07:38:00Z</cp:lastPrinted>
  <dcterms:created xsi:type="dcterms:W3CDTF">2014-08-08T06:44:00Z</dcterms:created>
  <dcterms:modified xsi:type="dcterms:W3CDTF">2014-08-08T07:06:00Z</dcterms:modified>
</cp:coreProperties>
</file>