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E0" w:rsidRPr="00437B63" w:rsidRDefault="00094FE0" w:rsidP="00890308">
      <w:pPr>
        <w:keepNext/>
        <w:spacing w:before="240" w:after="60" w:line="240" w:lineRule="auto"/>
        <w:jc w:val="center"/>
        <w:outlineLvl w:val="0"/>
        <w:rPr>
          <w:rFonts w:asciiTheme="majorHAnsi" w:eastAsia="Times New Roman" w:hAnsiTheme="majorHAnsi" w:cs="Arial"/>
          <w:b/>
          <w:iCs/>
          <w:kern w:val="28"/>
          <w:sz w:val="36"/>
          <w:szCs w:val="20"/>
          <w:lang w:eastAsia="cs-CZ"/>
        </w:rPr>
      </w:pPr>
      <w:r w:rsidRPr="00437B63">
        <w:rPr>
          <w:rFonts w:asciiTheme="majorHAnsi" w:eastAsia="Times New Roman" w:hAnsiTheme="majorHAnsi" w:cs="Arial"/>
          <w:b/>
          <w:iCs/>
          <w:kern w:val="28"/>
          <w:sz w:val="36"/>
          <w:szCs w:val="20"/>
          <w:lang w:eastAsia="cs-CZ"/>
        </w:rPr>
        <w:t>SMLOUVA O DÍLO</w:t>
      </w:r>
    </w:p>
    <w:p w:rsidR="00094FE0" w:rsidRPr="00437B63" w:rsidRDefault="00094FE0" w:rsidP="00094FE0">
      <w:pPr>
        <w:keepNext/>
        <w:spacing w:before="240" w:after="60" w:line="240" w:lineRule="auto"/>
        <w:jc w:val="center"/>
        <w:outlineLvl w:val="0"/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cs-CZ"/>
        </w:rPr>
      </w:pPr>
      <w:r w:rsidRPr="00437B63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cs-CZ"/>
        </w:rPr>
        <w:t>ev. číslo zhotovitele:</w:t>
      </w:r>
    </w:p>
    <w:p w:rsidR="00094FE0" w:rsidRDefault="00094FE0" w:rsidP="00094FE0">
      <w:pPr>
        <w:spacing w:before="240" w:after="120" w:line="240" w:lineRule="auto"/>
        <w:jc w:val="center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>uzavřená dle § 2586 a následujících zák.</w:t>
      </w:r>
      <w:r w:rsidR="00890308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>č. 89/2012 Sb</w:t>
      </w:r>
      <w:r w:rsidR="00890308">
        <w:rPr>
          <w:rFonts w:asciiTheme="majorHAnsi" w:eastAsia="Times New Roman" w:hAnsiTheme="majorHAnsi" w:cs="Arial"/>
          <w:sz w:val="24"/>
          <w:lang w:eastAsia="cs-CZ"/>
        </w:rPr>
        <w:t>.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>, občanský zákoník, ve znění pozdějších předpisů a zákona č. 137/2006 Sb., o veřejných zakázkách, ve znění pozdějších předpisů</w:t>
      </w:r>
    </w:p>
    <w:p w:rsidR="00371D40" w:rsidRPr="00437B63" w:rsidRDefault="00371D40" w:rsidP="00371D40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lang w:eastAsia="cs-CZ"/>
        </w:rPr>
      </w:pPr>
    </w:p>
    <w:p w:rsidR="00371D40" w:rsidRPr="00371D40" w:rsidRDefault="00371D4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I.</w:t>
      </w:r>
    </w:p>
    <w:p w:rsidR="00094FE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Smluvní strany</w:t>
      </w:r>
    </w:p>
    <w:p w:rsidR="00094FE0" w:rsidRPr="00437B63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094FE0" w:rsidRPr="00437B63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28"/>
          <w:szCs w:val="24"/>
          <w:lang w:eastAsia="cs-CZ"/>
        </w:rPr>
      </w:pPr>
    </w:p>
    <w:p w:rsidR="00094FE0" w:rsidRPr="00437B63" w:rsidRDefault="00094FE0" w:rsidP="00094FE0">
      <w:pPr>
        <w:tabs>
          <w:tab w:val="left" w:pos="708"/>
          <w:tab w:val="left" w:pos="1416"/>
          <w:tab w:val="left" w:pos="4080"/>
        </w:tabs>
        <w:spacing w:after="0" w:line="240" w:lineRule="auto"/>
        <w:ind w:left="283" w:hanging="283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>1.1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>Objednatel: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</w:p>
    <w:p w:rsidR="00094FE0" w:rsidRPr="00437B63" w:rsidRDefault="00094FE0" w:rsidP="00094FE0">
      <w:pPr>
        <w:keepNext/>
        <w:tabs>
          <w:tab w:val="left" w:pos="284"/>
        </w:tabs>
        <w:spacing w:after="0" w:line="240" w:lineRule="auto"/>
        <w:outlineLvl w:val="3"/>
        <w:rPr>
          <w:rFonts w:asciiTheme="majorHAnsi" w:eastAsia="Times New Roman" w:hAnsiTheme="majorHAnsi" w:cs="Arial"/>
          <w:b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/>
          <w:sz w:val="24"/>
          <w:lang w:eastAsia="cs-CZ"/>
        </w:rPr>
        <w:tab/>
        <w:t xml:space="preserve"> </w:t>
      </w:r>
      <w:r w:rsidRPr="00437B63">
        <w:rPr>
          <w:rFonts w:asciiTheme="majorHAnsi" w:eastAsia="Times New Roman" w:hAnsiTheme="majorHAnsi" w:cs="Arial"/>
          <w:b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b/>
          <w:sz w:val="24"/>
          <w:lang w:eastAsia="cs-CZ"/>
        </w:rPr>
        <w:t>Obec Dětřichov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Dětřichov </w:t>
      </w:r>
      <w:proofErr w:type="gramStart"/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>č.p.</w:t>
      </w:r>
      <w:proofErr w:type="gramEnd"/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 2, 464 01 Frýdlant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zastoupený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>Daniel</w:t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em</w:t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 Kopecký</w:t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m, starostou</w:t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 xml:space="preserve"> obce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bankovní spojení: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24323461 / 0100 KB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color w:val="00FF00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      IČ: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245353" w:rsidRPr="00437B63">
        <w:rPr>
          <w:rFonts w:asciiTheme="majorHAnsi" w:eastAsia="Times New Roman" w:hAnsiTheme="majorHAnsi" w:cs="Arial"/>
          <w:sz w:val="24"/>
          <w:lang w:eastAsia="cs-CZ"/>
        </w:rPr>
        <w:t>00831468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ind w:left="360" w:hanging="360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sz w:val="24"/>
          <w:lang w:eastAsia="cs-CZ"/>
        </w:rPr>
        <w:tab/>
        <w:t xml:space="preserve">      DIČ: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E4597B" w:rsidRPr="00437B63">
        <w:rPr>
          <w:rFonts w:asciiTheme="majorHAnsi" w:eastAsia="Times New Roman" w:hAnsiTheme="majorHAnsi" w:cs="Arial"/>
          <w:sz w:val="24"/>
          <w:lang w:eastAsia="cs-CZ"/>
        </w:rPr>
        <w:t>obec není plátcem DPH</w:t>
      </w:r>
    </w:p>
    <w:p w:rsidR="00094FE0" w:rsidRPr="00437B63" w:rsidRDefault="00094FE0" w:rsidP="00094FE0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094FE0" w:rsidRPr="00437B63" w:rsidRDefault="00094FE0" w:rsidP="00C77499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Arial"/>
          <w:b/>
          <w:bCs/>
          <w:sz w:val="24"/>
          <w:lang w:eastAsia="cs-CZ"/>
        </w:rPr>
      </w:pPr>
      <w:r w:rsidRPr="00717216">
        <w:rPr>
          <w:rFonts w:asciiTheme="majorHAnsi" w:eastAsia="Times New Roman" w:hAnsiTheme="majorHAnsi" w:cs="Arial"/>
          <w:bCs/>
          <w:sz w:val="24"/>
          <w:lang w:eastAsia="cs-CZ"/>
        </w:rPr>
        <w:t>1.2</w:t>
      </w:r>
      <w:r w:rsidRPr="00437B63">
        <w:rPr>
          <w:rFonts w:asciiTheme="majorHAnsi" w:eastAsia="Times New Roman" w:hAnsiTheme="majorHAnsi" w:cs="Arial"/>
          <w:b/>
          <w:bCs/>
          <w:sz w:val="24"/>
          <w:lang w:eastAsia="cs-CZ"/>
        </w:rPr>
        <w:tab/>
      </w:r>
      <w:r w:rsidRPr="00717216">
        <w:rPr>
          <w:rFonts w:asciiTheme="majorHAnsi" w:eastAsia="Times New Roman" w:hAnsiTheme="majorHAnsi" w:cs="Arial"/>
          <w:bCs/>
          <w:sz w:val="24"/>
          <w:lang w:eastAsia="cs-CZ"/>
        </w:rPr>
        <w:t>Zhotovitel:</w:t>
      </w:r>
      <w:r w:rsidRPr="00437B63">
        <w:rPr>
          <w:rFonts w:asciiTheme="majorHAnsi" w:eastAsia="Times New Roman" w:hAnsiTheme="majorHAnsi" w:cs="Arial"/>
          <w:b/>
          <w:bCs/>
          <w:sz w:val="24"/>
          <w:lang w:eastAsia="cs-CZ"/>
        </w:rPr>
        <w:t xml:space="preserve">  </w:t>
      </w:r>
    </w:p>
    <w:p w:rsidR="00094FE0" w:rsidRPr="00C24A4F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/>
          <w:sz w:val="24"/>
          <w:lang w:eastAsia="cs-CZ"/>
        </w:rPr>
      </w:pPr>
      <w:r w:rsidRPr="00C24A4F">
        <w:rPr>
          <w:rFonts w:asciiTheme="majorHAnsi" w:eastAsia="Times New Roman" w:hAnsiTheme="majorHAnsi" w:cs="Arial"/>
          <w:b/>
          <w:sz w:val="24"/>
          <w:lang w:eastAsia="cs-CZ"/>
        </w:rPr>
        <w:tab/>
      </w:r>
      <w:proofErr w:type="spellStart"/>
      <w:r w:rsidR="00C24A4F" w:rsidRPr="00C24A4F">
        <w:rPr>
          <w:rFonts w:asciiTheme="majorHAnsi" w:eastAsia="Times New Roman" w:hAnsiTheme="majorHAnsi" w:cs="Arial"/>
          <w:b/>
          <w:sz w:val="24"/>
          <w:lang w:eastAsia="cs-CZ"/>
        </w:rPr>
        <w:t>xxx</w:t>
      </w:r>
      <w:proofErr w:type="spellEnd"/>
    </w:p>
    <w:p w:rsidR="00094FE0" w:rsidRPr="00437B63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>se sídlem</w:t>
      </w:r>
      <w:r w:rsidRPr="00437B63">
        <w:rPr>
          <w:rFonts w:asciiTheme="majorHAnsi" w:eastAsia="Times New Roman" w:hAnsiTheme="majorHAnsi" w:cs="Arial"/>
          <w:sz w:val="24"/>
          <w:lang w:eastAsia="cs-CZ"/>
        </w:rPr>
        <w:t xml:space="preserve">: </w:t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sz w:val="24"/>
          <w:lang w:eastAsia="cs-CZ"/>
        </w:rPr>
        <w:t>xxx</w:t>
      </w:r>
      <w:proofErr w:type="spellEnd"/>
    </w:p>
    <w:p w:rsidR="00094FE0" w:rsidRPr="00437B63" w:rsidRDefault="00094FE0" w:rsidP="00C77499">
      <w:pPr>
        <w:widowControl w:val="0"/>
        <w:suppressLineNumbers/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sz w:val="24"/>
          <w:lang w:eastAsia="cs-CZ"/>
        </w:rPr>
        <w:tab/>
      </w:r>
      <w:r w:rsidR="00437B63" w:rsidRPr="00437B63">
        <w:rPr>
          <w:rFonts w:asciiTheme="majorHAnsi" w:eastAsia="Times New Roman" w:hAnsiTheme="majorHAnsi" w:cs="Arial"/>
          <w:bCs/>
          <w:sz w:val="24"/>
          <w:lang w:eastAsia="cs-CZ"/>
        </w:rPr>
        <w:t>z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 xml:space="preserve">astoupený </w:t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</w:p>
    <w:p w:rsidR="00437B63" w:rsidRPr="00437B63" w:rsidRDefault="00094FE0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IČ: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>……………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</w:p>
    <w:p w:rsidR="00094FE0" w:rsidRPr="00437B63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DIČ: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……………………</w:t>
      </w:r>
    </w:p>
    <w:p w:rsidR="00094FE0" w:rsidRPr="00437B63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bankovní spojení:</w:t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č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>íslo účtu: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ab/>
      </w:r>
      <w:proofErr w:type="spellStart"/>
      <w:r w:rsidR="00C24A4F">
        <w:rPr>
          <w:rFonts w:asciiTheme="majorHAnsi" w:eastAsia="Times New Roman" w:hAnsiTheme="majorHAnsi" w:cs="Arial"/>
          <w:bCs/>
          <w:sz w:val="24"/>
          <w:lang w:eastAsia="cs-CZ"/>
        </w:rPr>
        <w:t>xxx</w:t>
      </w:r>
      <w:proofErr w:type="spellEnd"/>
    </w:p>
    <w:p w:rsidR="00C24A4F" w:rsidRDefault="00437B63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ab/>
        <w:t>v</w:t>
      </w:r>
      <w:r w:rsidR="00094FE0" w:rsidRPr="00437B63">
        <w:rPr>
          <w:rFonts w:asciiTheme="majorHAnsi" w:eastAsia="Times New Roman" w:hAnsiTheme="majorHAnsi" w:cs="Arial"/>
          <w:bCs/>
          <w:sz w:val="24"/>
          <w:lang w:eastAsia="cs-CZ"/>
        </w:rPr>
        <w:t xml:space="preserve">e věcech smluvních oprávněn jednat a podepisovat: </w:t>
      </w:r>
    </w:p>
    <w:p w:rsidR="00094FE0" w:rsidRPr="00437B63" w:rsidRDefault="00C24A4F" w:rsidP="00C77499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ind w:firstLine="284"/>
        <w:rPr>
          <w:rFonts w:asciiTheme="majorHAnsi" w:eastAsia="Times New Roman" w:hAnsiTheme="majorHAnsi" w:cs="Arial"/>
          <w:bCs/>
          <w:sz w:val="24"/>
          <w:lang w:eastAsia="cs-CZ"/>
        </w:rPr>
      </w:pPr>
      <w:r>
        <w:rPr>
          <w:rFonts w:asciiTheme="majorHAnsi" w:eastAsia="Times New Roman" w:hAnsiTheme="majorHAnsi" w:cs="Arial"/>
          <w:bCs/>
          <w:sz w:val="24"/>
          <w:lang w:eastAsia="cs-CZ"/>
        </w:rPr>
        <w:tab/>
      </w:r>
      <w:r w:rsidRPr="00437B63">
        <w:rPr>
          <w:rFonts w:asciiTheme="majorHAnsi" w:eastAsia="Times New Roman" w:hAnsiTheme="majorHAnsi" w:cs="Arial"/>
          <w:bCs/>
          <w:sz w:val="24"/>
          <w:lang w:eastAsia="cs-CZ"/>
        </w:rPr>
        <w:t>zapsaný v obchodním rejstříku</w:t>
      </w:r>
    </w:p>
    <w:p w:rsidR="00094FE0" w:rsidRPr="00094FE0" w:rsidRDefault="00094FE0" w:rsidP="00C77499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094FE0" w:rsidRPr="00094FE0" w:rsidRDefault="00094FE0" w:rsidP="00094F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94FE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94FE0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 </w:t>
      </w:r>
    </w:p>
    <w:p w:rsidR="00371D4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 xml:space="preserve">II.  </w:t>
      </w:r>
    </w:p>
    <w:p w:rsidR="00094FE0" w:rsidRPr="00371D40" w:rsidRDefault="00094FE0" w:rsidP="00371D4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Předmět smlouvy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Předmětem této smlouvy je realizace díla </w:t>
      </w:r>
      <w:r w:rsidRPr="00371D40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„</w:t>
      </w:r>
      <w:r w:rsidR="007F73D5" w:rsidRPr="00371D40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Snížení energetické náročnosti obecního úřadu Dětřichov</w:t>
      </w:r>
      <w:r w:rsidRPr="00371D40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“ 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(dále jen „dílo“),</w:t>
      </w:r>
      <w:r w:rsidRPr="00371D40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které spočívá v realizaci </w:t>
      </w:r>
      <w:r w:rsidR="006623ED"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snížení energetické náročnosti objektu obecního úřadu Dětřichov</w:t>
      </w:r>
      <w:r w:rsidR="00561865"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za finanční podpory OPŽP 2014-2020.</w:t>
      </w:r>
    </w:p>
    <w:p w:rsidR="00094FE0" w:rsidRPr="00371D40" w:rsidRDefault="006623ED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Předmětem projektu je doposud neřešený technický stav stavby s vysokými tepelnými ztrátami obálky budovy, okenních a dveřních otvorů, a s nehospodárným a neekologickým a neekonomickým zdrojem tepla na uhlí. Předmětem je nezateplený objekt OÚ technicky a technologicky zastaralý kotel na uhlí. V projektu je řešeno zateplení budovy a výměna otvorů oken výměna kotle na uhlí za kotel na palety </w:t>
      </w:r>
      <w:proofErr w:type="spellStart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ekodesigne</w:t>
      </w:r>
      <w:proofErr w:type="spellEnd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- 5. emisní třida s celkovou technologickou úpravou napojení na stávající otopovou soustavu.</w:t>
      </w:r>
    </w:p>
    <w:p w:rsidR="00094FE0" w:rsidRPr="00890308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Rozsah plnění závazku zhotovitele je určen:</w:t>
      </w:r>
    </w:p>
    <w:p w:rsidR="00094FE0" w:rsidRPr="00890308" w:rsidRDefault="00890308" w:rsidP="00371D40">
      <w:pPr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hAnsiTheme="majorHAnsi" w:cs="Arial"/>
          <w:sz w:val="24"/>
          <w:szCs w:val="24"/>
        </w:rPr>
        <w:lastRenderedPageBreak/>
        <w:t>výzvou k podání nabídek a prokázání splnění kvalifikace a zadávací dokumentací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(dále jen „</w:t>
      </w:r>
      <w:r w:rsidRPr="00890308">
        <w:rPr>
          <w:rFonts w:asciiTheme="majorHAnsi" w:hAnsiTheme="majorHAnsi" w:cs="Arial"/>
          <w:sz w:val="24"/>
          <w:szCs w:val="24"/>
        </w:rPr>
        <w:t xml:space="preserve">výzva a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ZD“) 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veřejné zakáz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ky malého rozsahu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„</w:t>
      </w:r>
      <w:r w:rsidR="00CB0D3F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Snížení energetické náročnosti obecního úřadu Dětřichov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“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,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</w:p>
    <w:p w:rsidR="009228CF" w:rsidRPr="00890308" w:rsidRDefault="00094FE0" w:rsidP="00371D40">
      <w:pPr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dokumentací pro provedení stavby „</w:t>
      </w:r>
      <w:r w:rsidR="00CB0D3F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Snížení energetické náročnosti obecního úřadu Dětřichov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“, zpracovanou generálním projektantem </w:t>
      </w:r>
      <w:r w:rsidR="009228CF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Ing. Lubomír Mužák</w:t>
      </w:r>
    </w:p>
    <w:p w:rsidR="00094FE0" w:rsidRPr="00890308" w:rsidRDefault="009228CF" w:rsidP="00371D40">
      <w:pPr>
        <w:spacing w:after="0" w:line="240" w:lineRule="auto"/>
        <w:ind w:left="1440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proofErr w:type="spellStart"/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Petrašovice</w:t>
      </w:r>
      <w:proofErr w:type="spellEnd"/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2</w:t>
      </w:r>
      <w:r w:rsidR="00026DC6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463 42 Bílá</w:t>
      </w:r>
      <w:r w:rsidR="00026DC6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, I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Č: 880 930 85</w:t>
      </w:r>
      <w:r w:rsidR="00026DC6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tel.: +420 723 137</w:t>
      </w:r>
      <w:r w:rsidR="007307A5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 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390</w:t>
      </w:r>
      <w:r w:rsidR="007307A5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e-mail : muzak@muzakprojekt.cz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v 06/2016 (dále jen „DPS“), která byla přílohou </w:t>
      </w:r>
      <w:r w:rsid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výzvy a 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ZD</w:t>
      </w:r>
      <w:r w:rsid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="00094FE0"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</w:p>
    <w:p w:rsidR="00094FE0" w:rsidRPr="00890308" w:rsidRDefault="00094FE0" w:rsidP="00371D40">
      <w:pPr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>oceněným položkovým rozpočtem, který byl předložen jako součást nabídky zhotovitele.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Objednatel i zhotovitel souhlasně prohlašují, že na základě shora uvedené specifikace je dílo dostatečně určitě a srozumitelně vymezeno, zejména co do umístění, rozsahu, podoby a kvalitativních podmínek, které je třeba při jeho realizaci dodržet.</w:t>
      </w:r>
    </w:p>
    <w:p w:rsidR="00094FE0" w:rsidRPr="00371D40" w:rsidRDefault="00094FE0" w:rsidP="00371D40">
      <w:pPr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Objednatel se zavazuje předmět smlouvy od zhotovitele převzít a zaplatit za něj dohodnutou cenu.</w:t>
      </w:r>
    </w:p>
    <w:p w:rsidR="00094FE0" w:rsidRPr="00890308" w:rsidRDefault="00094FE0" w:rsidP="00094FE0">
      <w:pPr>
        <w:tabs>
          <w:tab w:val="num" w:pos="426"/>
        </w:tabs>
        <w:spacing w:after="0" w:line="240" w:lineRule="auto"/>
        <w:ind w:hanging="720"/>
        <w:rPr>
          <w:rFonts w:asciiTheme="majorHAnsi" w:eastAsia="Times New Roman" w:hAnsiTheme="majorHAnsi" w:cs="Arial"/>
          <w:lang w:eastAsia="cs-CZ"/>
        </w:rPr>
      </w:pPr>
    </w:p>
    <w:p w:rsidR="00371D40" w:rsidRPr="00371D40" w:rsidRDefault="00094FE0" w:rsidP="00371D4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III.</w:t>
      </w:r>
    </w:p>
    <w:p w:rsidR="00094FE0" w:rsidRPr="00371D40" w:rsidRDefault="00094FE0" w:rsidP="00371D4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6"/>
          <w:szCs w:val="26"/>
          <w:lang w:eastAsia="cs-CZ"/>
        </w:rPr>
      </w:pPr>
      <w:r w:rsidRPr="00371D40">
        <w:rPr>
          <w:rFonts w:asciiTheme="majorHAnsi" w:eastAsia="Times New Roman" w:hAnsiTheme="majorHAnsi" w:cs="Arial"/>
          <w:b/>
          <w:sz w:val="26"/>
          <w:szCs w:val="26"/>
          <w:lang w:eastAsia="cs-CZ"/>
        </w:rPr>
        <w:t>Cena díla a platební podmínky</w:t>
      </w:r>
    </w:p>
    <w:p w:rsidR="00094FE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Cena za dílo je stanovena na základě nabídky zhotovitele a podmínek objednatele stanovených v ZD a DPS.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Celková cena díla je stanovena za sjednaný předmět plnění jako nejvýše přípustná, platná po celou dobu realizace díla: 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Cena díla celkem bez DPH              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>DPH …….</w:t>
      </w:r>
      <w:r w:rsid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>%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tabs>
          <w:tab w:val="right" w:pos="5954"/>
          <w:tab w:val="left" w:pos="6379"/>
        </w:tabs>
        <w:spacing w:after="120" w:line="240" w:lineRule="auto"/>
        <w:ind w:left="1979" w:hanging="986"/>
        <w:jc w:val="both"/>
        <w:rPr>
          <w:rFonts w:asciiTheme="majorHAnsi" w:eastAsia="Times New Roman" w:hAnsiTheme="majorHAnsi" w:cs="Arial"/>
          <w:b/>
          <w:sz w:val="24"/>
          <w:highlight w:val="lightGray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 xml:space="preserve">Cena díla celkem včetně DPH             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 xml:space="preserve"> </w:t>
      </w:r>
      <w:r w:rsidRPr="00371D40">
        <w:rPr>
          <w:rFonts w:asciiTheme="majorHAnsi" w:eastAsia="Times New Roman" w:hAnsiTheme="majorHAnsi" w:cs="Arial"/>
          <w:sz w:val="24"/>
          <w:highlight w:val="lightGray"/>
          <w:lang w:eastAsia="cs-CZ"/>
        </w:rPr>
        <w:tab/>
        <w:t>,-  Kč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Podrobný oceněný položkový rozpočet včetně rekapitulace je uveden v příloze č. 1 smlouvy a je její nedílnou součástí.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DPH je vyčísleno ke dni uzavření této smlouvy, přičemž jeho skutečná výše bude dopočtena dle daňových předpisů platných v době vystavení daňového dokladu a účtována při fakturaci zdanitelného plnění.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Cena díla zahrnuje veškeré náklady nutné k řádnému dokončení díla tj. (náklady na zřízení, provoz a odstranění zařízení staveniště, náklady na bezpečnostní opatření, náklady na dodávku elektřiny, vodné, stočné, náklady na používání strojů a služeb až do předání a převzetí dokončeného díla, náklady na zhotovování, výrobu, obstarání, přepravu věcí, zařízení, materiálů, dodávek, náklady na pojištění odpovědnosti za škody, bankovní garance, daně, cla, poplatky, náklady na provádění všech přípustných, normami a vyhláškami stanovených zkoušek materiálů, dílů a předávacích zkoušek, náklady na nutná, či úřady stanovená opatření k realizaci díla jakékoliv další vedlejší výdaje, potřebné pro realizaci této veřejné zakázky).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Celkovou cenu je možné změnit v případě, že se v průběhu provádění díla vyskytne v důsledku objektivně nepředvídaných okolností potřeba změnit rozsah realizovaných prací oproti rozsahu stanovenému v položkovém rozpočtu, ZD a DPS. Tyto změny je možné realizovat pouze v souladu se Z</w:t>
      </w:r>
      <w:r w:rsidR="007E672F">
        <w:rPr>
          <w:rFonts w:asciiTheme="majorHAnsi" w:eastAsia="Times New Roman" w:hAnsiTheme="majorHAnsi" w:cs="Arial"/>
          <w:sz w:val="24"/>
          <w:szCs w:val="24"/>
          <w:lang w:eastAsia="cs-CZ"/>
        </w:rPr>
        <w:t>Z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VZ a se souhlasem objednatele, případně i poskytovatele dotace. Zhotovitel je povinen na skutečnosti zjištěné v daném smyslu neprodleně upozornit objednatele.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lastRenderedPageBreak/>
        <w:t>Objednatel je oprávněn odečíst cenu neprovedených prací vyčíslených podle nabídkového rozpočtu v případě snížení rozsahu prací, dílčích změn technologií nebo materiálů odsouhlasených objednatelem a v ostatních případech specifikovaných zápisem ve stavebním deníku.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Platba bude provedena na základě příslušného daňového dokladu (faktury) vystavené zhotovitelem dle soupisu skutečně provedených prací a dodávek odsouhlasených pověřenou osobou objednatele, po předání a převzetí celého díla a odstranění případných vad a nedodělků z předávacího protokolu.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Faktura - daňový doklady musí obsahovat náležitosti daňového dokladu dle zákona 235/2004 Sb. o dani z přidané hodnoty, v platném znění. V případě, že účetní doklad nebude mít odpovídající náležitosti, je objednatel oprávněn zaslat jej ve lhůtě splatnosti zpět zhotoviteli k doplnění, aniž se tak </w:t>
      </w:r>
      <w:proofErr w:type="gramStart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dostane</w:t>
      </w:r>
      <w:proofErr w:type="gramEnd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do prodlení se splatností</w:t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sym w:font="Symbol" w:char="F03B"/>
      </w: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lhůta </w:t>
      </w:r>
      <w:proofErr w:type="gramStart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počíná</w:t>
      </w:r>
      <w:proofErr w:type="gramEnd"/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běžet znovu od opětovného zaslání náležitě doplněných či opravených dokladů.  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Zálohy objednatel neposkytuje.</w:t>
      </w:r>
    </w:p>
    <w:p w:rsidR="00094FE0" w:rsidRPr="00371D40" w:rsidRDefault="00094FE0" w:rsidP="00371D40">
      <w:pPr>
        <w:pStyle w:val="Odstavecseseznamem"/>
        <w:numPr>
          <w:ilvl w:val="1"/>
          <w:numId w:val="17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371D40">
        <w:rPr>
          <w:rFonts w:asciiTheme="majorHAnsi" w:eastAsia="Times New Roman" w:hAnsiTheme="majorHAnsi" w:cs="Arial"/>
          <w:sz w:val="24"/>
          <w:szCs w:val="24"/>
          <w:lang w:eastAsia="cs-CZ"/>
        </w:rPr>
        <w:t>Splatnost faktury (daňového dokladu) potvrzených pověřenou osobou objednatele se stanovuje do 30 dnů od data doručení objednateli.</w:t>
      </w:r>
    </w:p>
    <w:p w:rsidR="00094FE0" w:rsidRPr="00890308" w:rsidRDefault="00094FE0" w:rsidP="00094FE0">
      <w:pPr>
        <w:tabs>
          <w:tab w:val="num" w:pos="360"/>
        </w:tabs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color w:val="0000FF"/>
          <w:sz w:val="24"/>
          <w:szCs w:val="20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IV.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Doba a místo plnění</w:t>
      </w:r>
    </w:p>
    <w:p w:rsid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zahájení plnění veřejné zakázky je podmíněn zadáním zakázky.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Uzavření smlouvy na realizaci díla: po ukončení tohoto výběrového řízení.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pro předání a převzetí staveniště: nejpozději do 5 dnů od doručení výzvy ze strany objednatele, předpoklad 03/2017.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pro zahájení stavebních prací: nejpozději do 5 dnů od předání a převzetí staveniště.</w:t>
      </w:r>
    </w:p>
    <w:p w:rsidR="00CB1B3F" w:rsidRPr="00CB1B3F" w:rsidRDefault="00CB1B3F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Termín pro dokončení stavebních prací (stavby) a pro předání a převzetí stavby: nejpozději do 180 dnů od předání staveniště.</w:t>
      </w:r>
    </w:p>
    <w:p w:rsidR="00094FE0" w:rsidRPr="00CB1B3F" w:rsidRDefault="00094FE0" w:rsidP="00CB1B3F">
      <w:pPr>
        <w:pStyle w:val="Odstavecseseznamem"/>
        <w:numPr>
          <w:ilvl w:val="1"/>
          <w:numId w:val="20"/>
        </w:numPr>
        <w:spacing w:after="12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Místem plnění je </w:t>
      </w:r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Obec Dětřichov</w:t>
      </w:r>
      <w:r w:rsidR="002716DD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, </w:t>
      </w:r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Dětřichov </w:t>
      </w:r>
      <w:proofErr w:type="gramStart"/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č.p.</w:t>
      </w:r>
      <w:proofErr w:type="gramEnd"/>
      <w:r w:rsidR="00131594"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2, 464 01 Frýdlant</w:t>
      </w: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>,.</w:t>
      </w:r>
    </w:p>
    <w:p w:rsidR="00094FE0" w:rsidRPr="00890308" w:rsidRDefault="00094FE0" w:rsidP="00094FE0">
      <w:pPr>
        <w:spacing w:before="120" w:after="0" w:line="240" w:lineRule="auto"/>
        <w:rPr>
          <w:rFonts w:asciiTheme="majorHAnsi" w:eastAsia="Times New Roman" w:hAnsiTheme="majorHAnsi" w:cs="Arial"/>
          <w:sz w:val="24"/>
          <w:szCs w:val="24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 xml:space="preserve">V. 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Odpovědnost za vady, záruky a kvalitativní podmínky provedení díla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Zhotovitel se zavazuje provést dílo, které je předmětem této smlouvy, v souladu s množstevními a kvalitativními požadavky objednatele uvedenými v  DPS a položkovém rozpočtu.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Dílo bude provedeno v kvalitě odpovídající požadavkům ZD, DPS a v ní uvedených ČSN a dalších technických předpisů, vztahujících se na provádění díla.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poskytuje záruční dobu na celé dílo v délce 36 měsíců. Záruční doba začíná běžet ode dne protokolárního předání díla objednateli. Po dobu záruky odpovídá zhotovitel za to, že provedené stavební práce a dodávky budou bez vad a budou mít vlastnosti předpokládané obecně závaznými právními předpisy a DPS. 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je povinen na své náklady odstranit během záruční doby zjištěné reklamované vady v dohodnutém termínu, pokud tyto vznikly z důvodů, za které je zhotovitel dle této smlouvy zodpovědný. Zhotovitel je povinen nastoupit k projednání reklamačních vad ve lhůtě nejpozději do 7 dnů od doručení písemné výzvy zhotoviteli (např. dopisem, elektronickou poštou). Termín pro odstranění reklamačních vad je 15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lastRenderedPageBreak/>
        <w:t xml:space="preserve">dnů od doručení písemné výzvy zhotoviteli, pokud nebude s ohledem na charakter vady se zástupcem objednatele dohodnuta lhůta delší a pokud to klimatické podmínky dovolí.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Termín pro odstranění vad a nedodělků uvedených v předávacím protokolu je 7 dnů ode dne podpisu předávacího protokolu, není-li v předávacím protokolu stanoven jiný termín.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Záruku poskytuje zhotovitel za podmínek provozování a údržby díla dle obecně platných předpisů. Záruka za jakost se řídí ustanoveními § 2113 až § 2017zákona č. 89/2012Sb.</w:t>
      </w:r>
      <w:r w:rsidR="00CB1B3F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občans</w:t>
      </w:r>
      <w:r w:rsidR="00CB1B3F">
        <w:rPr>
          <w:rFonts w:asciiTheme="majorHAnsi" w:eastAsia="Times New Roman" w:hAnsiTheme="majorHAnsi" w:cs="Arial"/>
          <w:sz w:val="24"/>
          <w:lang w:eastAsia="cs-CZ"/>
        </w:rPr>
        <w:t>k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ého zákoníku, a v souladu s upřesněními uvedenými touto smlouvou.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Objednatel je povinen oznámit vady díla zhotoviteli bez zbytečného odkladu ihned, jakmile je zjistí, a to písemně na adresu zhotovitele. Za písemné oznámení se považuje i zpráva zaslaná e-mailem na adresu </w:t>
      </w:r>
      <w:r w:rsidRPr="00CB1B3F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>………………</w:t>
      </w:r>
      <w:proofErr w:type="gramStart"/>
      <w:r w:rsidRPr="00CB1B3F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>…...</w:t>
      </w:r>
      <w:proofErr w:type="gramEnd"/>
      <w:r w:rsidRPr="00CB1B3F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 xml:space="preserve"> </w:t>
      </w:r>
    </w:p>
    <w:p w:rsidR="00094FE0" w:rsidRPr="00CB1B3F" w:rsidRDefault="00094FE0" w:rsidP="00CB1B3F">
      <w:pPr>
        <w:pStyle w:val="Odstavecseseznamem"/>
        <w:numPr>
          <w:ilvl w:val="1"/>
          <w:numId w:val="21"/>
        </w:numPr>
        <w:tabs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Pokud zhotovitel řádně reklamaci nevyřídí, anebo v přiměřené době neodstraní vadu či vady provedených prací či dodaného zboží, na něž záruka dopadá, je objednatel oprávněn nechat tyto vady odstranit třetí osobou a přeúčtovat prokazatelně vynaložené náklady zhotoviteli, který se tímto zavazuje je uhradit objednateli do </w:t>
      </w:r>
      <w:proofErr w:type="gramStart"/>
      <w:r w:rsidRPr="00CB1B3F">
        <w:rPr>
          <w:rFonts w:asciiTheme="majorHAnsi" w:eastAsia="Times New Roman" w:hAnsiTheme="majorHAnsi" w:cs="Arial"/>
          <w:sz w:val="24"/>
          <w:lang w:eastAsia="cs-CZ"/>
        </w:rPr>
        <w:t>15-ti</w:t>
      </w:r>
      <w:proofErr w:type="gramEnd"/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dnů ode dne písemné výzvy.</w:t>
      </w:r>
    </w:p>
    <w:p w:rsidR="00094FE0" w:rsidRPr="00890308" w:rsidRDefault="00094FE0" w:rsidP="00094FE0">
      <w:pPr>
        <w:spacing w:after="0" w:line="240" w:lineRule="auto"/>
        <w:ind w:left="360" w:hanging="360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890308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</w:t>
      </w: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VI.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Předání a převzetí díla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Zhotovitel připraví k předání dokončeného díla prohlášení o shodě, atesty a další dokumenty prokazující, že veškeré zhotovitelem dodané výrobky, materiály a zařízení splňují podmínky vyplývající z této smlouvy včetně jejích příloh, z DPS, příslušné právní předpisy a technické normy, a další doklady, související s předmětem plnění. Objednatel se po předložení těchto dokladů dostaví k převzetí díla v nejbližším možném termínu, nejpozději do 5 dnů.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 průběhu a výsledku předání a převzetí vyhotoví zhotovitel protokol, ve kterém budou uvedeny všechny zjištěné skutečnosti související s dokončením díla a případně budou sepsány zjištěné nedodělky, vady a stanoveny termíny pro jejich dokončení nebo odstranění. Nebude-li termín odstranění vad a nedodělků takto sjednán, pak platí ustanovení čl. V. odst. </w:t>
      </w:r>
      <w:proofErr w:type="gramStart"/>
      <w:r w:rsidRPr="00CB1B3F">
        <w:rPr>
          <w:rFonts w:asciiTheme="majorHAnsi" w:eastAsia="Times New Roman" w:hAnsiTheme="majorHAnsi" w:cs="Arial"/>
          <w:sz w:val="24"/>
          <w:lang w:eastAsia="cs-CZ"/>
        </w:rPr>
        <w:t>5.5. této</w:t>
      </w:r>
      <w:proofErr w:type="gramEnd"/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smlouvy.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řádně provedené se považuje pouze dílo provedené bez vad a nedodělků, převzetí díla s drobnými vadami a nedodělky je právo, nikoliv povinnost objednatele. </w:t>
      </w:r>
    </w:p>
    <w:p w:rsidR="00094FE0" w:rsidRPr="00CB1B3F" w:rsidRDefault="00094FE0" w:rsidP="00CB1B3F">
      <w:pPr>
        <w:pStyle w:val="Odstavecseseznamem"/>
        <w:numPr>
          <w:ilvl w:val="1"/>
          <w:numId w:val="23"/>
        </w:numPr>
        <w:spacing w:before="120" w:after="0" w:line="240" w:lineRule="auto"/>
        <w:ind w:left="567" w:hanging="567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Datem podpisu předávacího protokolu počíná běžet záruční lhůta.</w:t>
      </w:r>
    </w:p>
    <w:p w:rsidR="00094FE0" w:rsidRPr="00CB1B3F" w:rsidRDefault="00094FE0" w:rsidP="00094FE0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  <w:lang w:eastAsia="cs-CZ"/>
        </w:rPr>
      </w:pPr>
    </w:p>
    <w:p w:rsidR="00CB1B3F" w:rsidRDefault="00094FE0" w:rsidP="00CB1B3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VII.</w:t>
      </w:r>
    </w:p>
    <w:p w:rsidR="00094FE0" w:rsidRPr="00890308" w:rsidRDefault="00094FE0" w:rsidP="00CB1B3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i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Sankce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Dodržení termínu dokončení kvalitně provedeného díla a dodržení platebních podmínek se považuje za podstatnou smluvní povinnost smluvních stran. 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prodlení se splněním povinnosti předat dílo ve sjednané lhůtě objednateli, má objednatel právo účtovat zhotoviteli smluvní pokutu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 xml:space="preserve">ve výši 0,5 % z celkové ceny díla za každý započatý den prodlení, 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>pokud k prodlení došlo z důvodů, které jsou na straně zhotovitele.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Za prodlení se splněním povinnosti zaplatit včas dle platebních podmínek, má zhotovitel právo účtovat objednateli úrok z prodlení z nezaplacených obnosů ve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>výši 0,5 % z dlužné částky</w:t>
      </w: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CB1B3F">
        <w:rPr>
          <w:rFonts w:asciiTheme="majorHAnsi" w:eastAsia="Times New Roman" w:hAnsiTheme="majorHAnsi" w:cs="Arial"/>
          <w:b/>
          <w:sz w:val="24"/>
          <w:lang w:eastAsia="cs-CZ"/>
        </w:rPr>
        <w:t xml:space="preserve">za každý den prodlení. 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lastRenderedPageBreak/>
        <w:t xml:space="preserve">Za prodlení </w:t>
      </w:r>
      <w:r w:rsidRPr="00CB1B3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se splněním povinnosti odstranit vady a nedodělky z předávacího protokolu ve sjednané lhůtě má objednatel právo účtovat zhotoviteli smluvní pokutu ve výši </w:t>
      </w:r>
      <w:r w:rsidRPr="00CB1B3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1.000</w:t>
      </w:r>
      <w:r w:rsidRPr="00CB1B3F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,- Kč za každý započatý den prodlení.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Zaplacením smluvních pokut nezaniká právo objednatele na náhradu škody.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 xml:space="preserve">Objednatel si vyhrazuje právo na úhradu smluvní pokuty formou zápočtu ke kterékoliv splatné pohledávce vybraného zhotovitele vůči zadavateli. </w:t>
      </w:r>
    </w:p>
    <w:p w:rsidR="00094FE0" w:rsidRPr="00CB1B3F" w:rsidRDefault="00094FE0" w:rsidP="00CB1B3F">
      <w:pPr>
        <w:numPr>
          <w:ilvl w:val="1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B3F">
        <w:rPr>
          <w:rFonts w:asciiTheme="majorHAnsi" w:eastAsia="Times New Roman" w:hAnsiTheme="majorHAnsi" w:cs="Arial"/>
          <w:sz w:val="24"/>
          <w:lang w:eastAsia="cs-CZ"/>
        </w:rPr>
        <w:t>Splatnost smluvních pokut a úroků z prodlení je 14 kalendářních dnů od doručení faktury.</w:t>
      </w:r>
    </w:p>
    <w:p w:rsidR="00094FE0" w:rsidRPr="00890308" w:rsidRDefault="00094FE0" w:rsidP="00094FE0">
      <w:pPr>
        <w:spacing w:before="120"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B87B80" w:rsidRDefault="00B87B80" w:rsidP="00B87B80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  <w:t>VIII.</w:t>
      </w:r>
    </w:p>
    <w:p w:rsidR="00094FE0" w:rsidRPr="00890308" w:rsidRDefault="00094FE0" w:rsidP="00B87B80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iCs/>
          <w:sz w:val="28"/>
          <w:szCs w:val="28"/>
          <w:lang w:eastAsia="cs-CZ"/>
        </w:rPr>
        <w:t>Povinnosti zhotovitele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plně a prokazatelně splnit předmět smlouvy, který je specifikován v článku II. této smlouvy o dílo. Zhotovitel provede všechny stanovené práce kvalitně, v souladu se ZD a DPS, v souladu s českými, příp. evropskými technickými normami a obecně závaznými právními předpisy</w:t>
      </w:r>
      <w:r w:rsidR="00174C1E" w:rsidRPr="00B87B80">
        <w:rPr>
          <w:rFonts w:asciiTheme="majorHAnsi" w:eastAsia="Times New Roman" w:hAnsiTheme="majorHAnsi" w:cs="Arial"/>
          <w:sz w:val="24"/>
          <w:lang w:eastAsia="cs-CZ"/>
        </w:rPr>
        <w:t xml:space="preserve"> a v souladu s pravidly pro příjemce dotace </w:t>
      </w:r>
      <w:r w:rsidR="00921403" w:rsidRPr="00B87B80">
        <w:rPr>
          <w:rFonts w:asciiTheme="majorHAnsi" w:eastAsia="Times New Roman" w:hAnsiTheme="majorHAnsi" w:cs="Arial"/>
          <w:sz w:val="24"/>
          <w:lang w:eastAsia="cs-CZ"/>
        </w:rPr>
        <w:t>OPŽP 2014-2020.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color w:val="FF0000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Osobou odpovědnou za vedení celé stavby je stavbyvedoucí, pan</w:t>
      </w:r>
      <w:r w:rsid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  <w:r w:rsidRPr="00B87B80">
        <w:rPr>
          <w:rFonts w:asciiTheme="majorHAnsi" w:eastAsia="Times New Roman" w:hAnsiTheme="majorHAnsi" w:cs="Arial"/>
          <w:sz w:val="24"/>
          <w:shd w:val="clear" w:color="auto" w:fill="D9D9D9" w:themeFill="background1" w:themeFillShade="D9"/>
          <w:lang w:eastAsia="cs-CZ"/>
        </w:rPr>
        <w:t>………………….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, s příslušnou kvalifikací v oboru.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po celou dobu provádění díla vést stavební deník s denními záznamy zachycujícími podstatné skutečnosti týkající se provádění díla. Za objednatele je oprávněn do deníku zapisovat a do něj nahlížet </w:t>
      </w:r>
      <w:r w:rsidR="00173CC3" w:rsidRPr="00B87B80">
        <w:rPr>
          <w:rFonts w:asciiTheme="majorHAnsi" w:eastAsia="Times New Roman" w:hAnsiTheme="majorHAnsi" w:cs="Arial"/>
          <w:sz w:val="24"/>
          <w:lang w:eastAsia="cs-CZ"/>
        </w:rPr>
        <w:t>starosta obce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, </w:t>
      </w:r>
      <w:r w:rsidR="00173CC3" w:rsidRPr="00B87B80">
        <w:rPr>
          <w:rFonts w:asciiTheme="majorHAnsi" w:eastAsia="Times New Roman" w:hAnsiTheme="majorHAnsi" w:cs="Arial"/>
          <w:sz w:val="24"/>
          <w:lang w:eastAsia="cs-CZ"/>
        </w:rPr>
        <w:t>a TDI určený objednatelem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účastnit se kontrolních dnů stavby a projednávat s objednatelem předem veškeré nevyhnutelné změny v technologických postupech či v množství prací, dodávek či služeb při provádění díla oproti postupům a rozsahu díla specifikovaném v DPS a položkovém rozpočtu.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plně respektovat a dodržet veškerá opatření a termíny stanovené objednatelem k nápravě a odstranění případných nesrovnalostí, nedostatků a závad, zjištěných v rámci kontrolní činnosti.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se zavazuje v rámci plnění předmětu smlouvy zajistit veškeré další činnosti související s realizací stavby, a to zejména: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zřízení staveniště – veškeré náklady spojené s vybudování, provozem a odstraněním ZS a zajištěním energií potřebných pro realizaci, včetně jejich úhrad.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čistotu na staveništi a v jeho okolí, v případě potřeby zajistit </w:t>
      </w:r>
      <w:r w:rsidRPr="00B87B80">
        <w:rPr>
          <w:rFonts w:asciiTheme="majorHAnsi" w:eastAsia="Times New Roman" w:hAnsiTheme="majorHAnsi" w:cs="Arial"/>
          <w:bCs/>
          <w:sz w:val="24"/>
          <w:lang w:eastAsia="cs-CZ"/>
        </w:rPr>
        <w:t>čištění komunikací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dotčených provozem dodavatele, zejména příjezd a výjezd ze staveniště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zajistit likvidaci odpadů a hmot souvisejících s prováděním stavby a předložení dokladů o uložení odpadů dle zákona o odpadech;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provést celkový úklid stavby a dotčeného okolí, provést likvidaci zařízení staveniště do jednoho týdne od ukončení činností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zajistit bezpečnost a ochranu zdraví všech pracovníků a ostatních osob (BOZP) v průběhu stavby</w:t>
      </w:r>
    </w:p>
    <w:p w:rsidR="00094FE0" w:rsidRPr="00B87B80" w:rsidRDefault="00094FE0" w:rsidP="00B87B80">
      <w:pPr>
        <w:numPr>
          <w:ilvl w:val="2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pozemky, jejichž úpravy nejsou součástí díla, ale budou stavbou dotčeny, uvést po ukončení prací neprodleně do původního stavu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sym w:font="Symbol" w:char="F03B"/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lastRenderedPageBreak/>
        <w:t>Zhotovitel se zavazuje oznámit objednateli neprodleně všechny podstatné změny a skutečnosti, které mají vliv, mohou mít vliv, nebo souvisejí s  předmětem smlouvy, nebo se jakýmkoliv způsobem předmětu smlouvy nebo projektu dotýkají.</w:t>
      </w:r>
    </w:p>
    <w:p w:rsidR="00094FE0" w:rsidRPr="00B87B80" w:rsidRDefault="00094FE0" w:rsidP="00B87B80">
      <w:pPr>
        <w:numPr>
          <w:ilvl w:val="1"/>
          <w:numId w:val="11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dílo provádět tak, aby jeho činnost neměla nepříznivý dopad na životní prostředí a okolí stavby.</w:t>
      </w:r>
    </w:p>
    <w:p w:rsidR="00094FE0" w:rsidRPr="00B87B80" w:rsidRDefault="00094FE0" w:rsidP="00B87B80">
      <w:pPr>
        <w:numPr>
          <w:ilvl w:val="1"/>
          <w:numId w:val="11"/>
        </w:num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</w:rPr>
      </w:pPr>
      <w:r w:rsidRPr="00B87B80">
        <w:rPr>
          <w:rFonts w:asciiTheme="majorHAnsi" w:eastAsia="Times New Roman" w:hAnsiTheme="majorHAnsi" w:cs="Arial"/>
          <w:sz w:val="24"/>
        </w:rPr>
        <w:t>Zhotovitel se zavazuje předmět díla realizovat sám nebo za pomoci svých subdodavatelů, jejichž seznam předloží při podpisu smlouvy.</w:t>
      </w:r>
    </w:p>
    <w:p w:rsidR="00094FE0" w:rsidRPr="00B87B80" w:rsidRDefault="00094FE0" w:rsidP="00B87B80">
      <w:pPr>
        <w:numPr>
          <w:ilvl w:val="1"/>
          <w:numId w:val="11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Arial"/>
          <w:sz w:val="24"/>
        </w:rPr>
      </w:pPr>
      <w:r w:rsidRPr="00B87B80">
        <w:rPr>
          <w:rFonts w:asciiTheme="majorHAnsi" w:eastAsia="Times New Roman" w:hAnsiTheme="majorHAnsi" w:cs="Arial"/>
          <w:sz w:val="24"/>
        </w:rPr>
        <w:t xml:space="preserve">Zhotovitel je odpovědný za splnění všech ustanovení této Smlouvy i ze strany subdodavatelů. 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Zhotovitel souhlasí se zveřejněním smlouvy včetně všech jejích příloh a dodatků podle § </w:t>
      </w:r>
      <w:r w:rsidR="00D02D7A">
        <w:rPr>
          <w:rFonts w:asciiTheme="majorHAnsi" w:eastAsia="Times New Roman" w:hAnsiTheme="majorHAnsi" w:cs="Arial"/>
          <w:sz w:val="24"/>
          <w:lang w:eastAsia="cs-CZ"/>
        </w:rPr>
        <w:t>214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 xml:space="preserve"> Z</w:t>
      </w:r>
      <w:r w:rsidR="00D02D7A">
        <w:rPr>
          <w:rFonts w:asciiTheme="majorHAnsi" w:eastAsia="Times New Roman" w:hAnsiTheme="majorHAnsi" w:cs="Arial"/>
          <w:sz w:val="24"/>
          <w:lang w:eastAsia="cs-CZ"/>
        </w:rPr>
        <w:t>Z</w:t>
      </w:r>
      <w:r w:rsidRPr="00B87B80">
        <w:rPr>
          <w:rFonts w:asciiTheme="majorHAnsi" w:eastAsia="Times New Roman" w:hAnsiTheme="majorHAnsi" w:cs="Arial"/>
          <w:sz w:val="24"/>
          <w:lang w:eastAsia="cs-CZ"/>
        </w:rPr>
        <w:t>VZ.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řádně uchovávat originál této smlouvy, včetně dodatků a příloh, veškeré originály dokladů a listin (zejména účetních) týkajících se předmětu smlouvy či s ním souvisejících činností, po dobu 10 let od uzavření smlouvy.</w:t>
      </w:r>
    </w:p>
    <w:p w:rsidR="00094FE0" w:rsidRPr="00B87B80" w:rsidRDefault="00094FE0" w:rsidP="00B87B80">
      <w:pPr>
        <w:numPr>
          <w:ilvl w:val="1"/>
          <w:numId w:val="1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B87B80">
        <w:rPr>
          <w:rFonts w:asciiTheme="majorHAnsi" w:eastAsia="Times New Roman" w:hAnsiTheme="majorHAnsi" w:cs="Arial"/>
          <w:sz w:val="24"/>
          <w:lang w:eastAsia="cs-CZ"/>
        </w:rPr>
        <w:t>Zhotovitel se zavazuje poskytnout v souladu s § 2, písmeno e) zákona č. 302/2001 Sb. o finanční kontrole subjektům provádějícím audit a kontrolu všechny nezbytné informace týkající se dodavatelských činností spojených s předmětem této smlouvy.</w:t>
      </w: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</w:p>
    <w:p w:rsidR="0021309F" w:rsidRDefault="00094FE0" w:rsidP="0021309F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IX.</w:t>
      </w:r>
    </w:p>
    <w:p w:rsidR="00094FE0" w:rsidRPr="00890308" w:rsidRDefault="00094FE0" w:rsidP="0021309F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Vlastnictví díla, odpovědnost za škody a pojištění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Vlastnictví díla a nebezpečí škody na díle: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 xml:space="preserve">Vlastnické právo k dílu nabývá objednatel postupně, tak, jak bude zhotovováno. Vlastníkem věcí, které budou zpracovány nebo zabudovány při provádění díla, se stává objednatel okamžikem, kdy budou zpracovány či zabudovány. 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Škodou na díle je ztráta, zničení, poškození nebo znehodnocení věci bez ohledu na to, z jakých příčin k nim došlo.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9.1.3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Nebezpečí škody na díle nese od počátku zhotovitel, a to až do termínu předání a převzetí díla mezi zhotovitelem a objednatelem.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9.2 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Odpovědnost zhotovitele za škodu a povinnost škodu nahradit: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9.2.1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  <w:t>Pokud činností zhotovitele dojde ke způsobení škody objednateli nebo třetím osobám z titulu opomenutí, nedbalosti nebo neplněním podmínek vyplývajících ze zákona, technických nebo jiných norem nebo vyplývajících z této smlouvy, je zhotovitel povinen bez zbytečného odkladu tuto škodu odstranit a není-li to možné, tak finančně uhradit. Veškeré náklady s tím spojené nese zhotovitel.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9.2.2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  <w:t>Zhotovitel odpovídá i za škodu na díle způsobenou činností těch, kteří pro něj dílo provádějí.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9.2.3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s-CZ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9.3 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Pojištění zhotovitele – odpovědnost za škodu způsobenou třetím osobám:</w:t>
      </w:r>
    </w:p>
    <w:p w:rsidR="00094FE0" w:rsidRPr="0021309F" w:rsidRDefault="00094FE0" w:rsidP="0021309F">
      <w:pPr>
        <w:tabs>
          <w:tab w:val="left" w:pos="993"/>
        </w:tabs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9.3.1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 xml:space="preserve">Zhotovitel má sjednané pojištění v rozsahu: pojištění odpovědnosti za škodu z výkonu podnikatelské činnosti, kryjící škody na věcech a na zdraví ve výši alespoň </w:t>
      </w:r>
      <w:r w:rsidR="00921403" w:rsidRPr="0021309F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3</w:t>
      </w:r>
      <w:r w:rsidRPr="0021309F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.000.000,- Kč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a zavazuje se toto pojištění udržovat po celou dobu stavby.</w:t>
      </w:r>
    </w:p>
    <w:p w:rsidR="00094FE0" w:rsidRPr="0021309F" w:rsidRDefault="00094FE0" w:rsidP="0021309F">
      <w:pPr>
        <w:tabs>
          <w:tab w:val="left" w:pos="993"/>
        </w:tabs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9.3.2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Doklady o tomto pojištění (kopie) zhotovitel objednateli předložil v rámci součinnosti k uzavření této smlouvy o dílo.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</w:p>
    <w:p w:rsidR="00094FE0" w:rsidRPr="0021309F" w:rsidRDefault="00094FE0" w:rsidP="0021309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lastRenderedPageBreak/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21309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Povinnosti smluvních stran při vzniku pojistné události: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.1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Při vzniku pojistné události zabezpečuje veškeré úkony vůči pojistiteli zhotovitel. Zhotovitel je současně povinen informovat objednatele o veškerých skutečnostech spojených s pojistnou událostí.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.2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Smluvní strany jsou povinny v souvislosti s pojistnou událostí poskytovat si veškerou součinnost, která je v jejich možnostech.</w:t>
      </w:r>
    </w:p>
    <w:p w:rsidR="00094FE0" w:rsidRPr="0021309F" w:rsidRDefault="00094FE0" w:rsidP="0021309F">
      <w:pPr>
        <w:spacing w:after="0" w:line="240" w:lineRule="auto"/>
        <w:ind w:left="1418" w:hanging="709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9.</w:t>
      </w:r>
      <w:r w:rsidR="0021309F">
        <w:rPr>
          <w:rFonts w:asciiTheme="majorHAnsi" w:eastAsia="Times New Roman" w:hAnsiTheme="majorHAnsi" w:cs="Arial"/>
          <w:sz w:val="24"/>
          <w:szCs w:val="24"/>
          <w:lang w:eastAsia="cs-CZ"/>
        </w:rPr>
        <w:t>4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>.3</w:t>
      </w:r>
      <w:r w:rsidRPr="0021309F">
        <w:rPr>
          <w:rFonts w:asciiTheme="majorHAnsi" w:eastAsia="Times New Roman" w:hAnsiTheme="majorHAnsi" w:cs="Arial"/>
          <w:sz w:val="24"/>
          <w:szCs w:val="24"/>
          <w:lang w:eastAsia="cs-CZ"/>
        </w:rPr>
        <w:tab/>
        <w:t>Náklady na pojištění nese zhotovitel v rámci ceny díla.</w:t>
      </w:r>
    </w:p>
    <w:p w:rsidR="00094FE0" w:rsidRPr="00890308" w:rsidRDefault="00094FE0" w:rsidP="00094FE0">
      <w:pPr>
        <w:spacing w:after="0" w:line="240" w:lineRule="auto"/>
        <w:rPr>
          <w:rFonts w:asciiTheme="majorHAnsi" w:eastAsia="Times New Roman" w:hAnsiTheme="majorHAnsi" w:cs="Arial"/>
          <w:szCs w:val="24"/>
          <w:lang w:eastAsia="cs-CZ"/>
        </w:rPr>
      </w:pPr>
    </w:p>
    <w:p w:rsidR="00681FF9" w:rsidRDefault="00094FE0" w:rsidP="00681FF9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X.</w:t>
      </w:r>
    </w:p>
    <w:p w:rsidR="00094FE0" w:rsidRPr="00890308" w:rsidRDefault="00094FE0" w:rsidP="00681FF9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Ostatní ujednání</w:t>
      </w:r>
    </w:p>
    <w:p w:rsidR="00094FE0" w:rsidRPr="00681FF9" w:rsidRDefault="00094FE0" w:rsidP="00681FF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Objednatel je oprávněn od této smlouvy odstoupit, pokud: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porušil jakoukoli ze svých povinností vyplývajících ze smlouvy a nenapravil takové porušení v přiměřené lhůtě určené objednatelem v písemné výzvě k nápravě; lhůta k nápravě nesmí být kratší než 20 pracovních dní; 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z jakéhokoli důvodu není oprávněn splnit své závazky vyplývající z této smlouvy;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soud rozhodne o úpadku zhotovitele, nebo soud zamítne insolvenční návrh na majetek zhotovitele z důvodu nedostatečného majetku na pokrytí nákladů insolvenčního řízení, nebo zhotovitel sám podá návrh na prohlášení úpadku na svůj majetek, nebo je přijato rozhodnutí o povinném nebo dobrovolném zrušení zhotovitele (vyjma případů sloučení nebo splynutí),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zhotovitel uvedl v nabídce podané v rámci zadávacího řízení k veřejné zakázce informace nebo doklady, které neodpovídají skutečnosti a měly nebo mohly mít vliv na výsledek zadávacího řízení,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zhotovitel je v prodlení s termíny dohodnutými v</w:t>
      </w:r>
      <w:r w:rsid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 čl. IV </w:t>
      </w:r>
      <w:proofErr w:type="gramStart"/>
      <w:r w:rsidR="00681FF9">
        <w:rPr>
          <w:rFonts w:asciiTheme="majorHAnsi" w:eastAsia="Times New Roman" w:hAnsiTheme="majorHAnsi" w:cs="Arial"/>
          <w:sz w:val="24"/>
          <w:szCs w:val="24"/>
          <w:lang w:eastAsia="cs-CZ"/>
        </w:rPr>
        <w:t>této</w:t>
      </w:r>
      <w:proofErr w:type="gramEnd"/>
      <w:r w:rsid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smlouvy</w:t>
      </w: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 o více jak 30 dní, </w:t>
      </w:r>
    </w:p>
    <w:p w:rsidR="00094FE0" w:rsidRPr="00681FF9" w:rsidRDefault="00094FE0" w:rsidP="00681FF9">
      <w:pPr>
        <w:numPr>
          <w:ilvl w:val="2"/>
          <w:numId w:val="2"/>
        </w:numPr>
        <w:suppressAutoHyphens/>
        <w:spacing w:after="0" w:line="240" w:lineRule="auto"/>
        <w:ind w:left="1417" w:hanging="424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tak stanoví ostatní ustanovení této smlouvy či v případech stanovených závaznými právními předpisy, jimiž se řídí uzavřená smlouva.</w:t>
      </w:r>
    </w:p>
    <w:p w:rsidR="00094FE0" w:rsidRPr="00681FF9" w:rsidRDefault="00094FE0" w:rsidP="00681FF9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709"/>
        <w:jc w:val="both"/>
        <w:rPr>
          <w:rFonts w:asciiTheme="majorHAnsi" w:eastAsia="Times New Roman" w:hAnsiTheme="majorHAnsi" w:cs="Arial"/>
          <w:iCs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iCs/>
          <w:sz w:val="24"/>
          <w:szCs w:val="24"/>
          <w:lang w:eastAsia="cs-CZ"/>
        </w:rPr>
        <w:t>Objednatel nepřipouští možnost odstoupení od smlouvy o dílo ze strany zhotovitele s výjimkou případů, které předvídají právní předpisy, jimiž se řídí uzavřená smlouva.</w:t>
      </w:r>
    </w:p>
    <w:p w:rsidR="00094FE0" w:rsidRPr="00890308" w:rsidRDefault="00094FE0" w:rsidP="00094FE0">
      <w:pPr>
        <w:suppressAutoHyphens/>
        <w:spacing w:before="200" w:after="0" w:line="240" w:lineRule="auto"/>
        <w:jc w:val="both"/>
        <w:rPr>
          <w:rFonts w:asciiTheme="majorHAnsi" w:eastAsia="Times New Roman" w:hAnsiTheme="majorHAnsi" w:cs="Arial"/>
          <w:iCs/>
          <w:lang w:eastAsia="cs-CZ"/>
        </w:rPr>
      </w:pPr>
    </w:p>
    <w:p w:rsidR="00681FF9" w:rsidRDefault="00094FE0" w:rsidP="00681FF9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XI.</w:t>
      </w:r>
    </w:p>
    <w:p w:rsidR="00094FE0" w:rsidRPr="00890308" w:rsidRDefault="00094FE0" w:rsidP="00681FF9">
      <w:pPr>
        <w:keepNext/>
        <w:spacing w:after="24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cs-CZ"/>
        </w:rPr>
      </w:pPr>
      <w:r w:rsidRPr="00890308">
        <w:rPr>
          <w:rFonts w:asciiTheme="majorHAnsi" w:eastAsia="Times New Roman" w:hAnsiTheme="majorHAnsi" w:cs="Arial"/>
          <w:b/>
          <w:sz w:val="28"/>
          <w:szCs w:val="28"/>
          <w:lang w:eastAsia="cs-CZ"/>
        </w:rPr>
        <w:t>Závěrečná ustanovení</w:t>
      </w:r>
    </w:p>
    <w:p w:rsidR="00094FE0" w:rsidRPr="00681FF9" w:rsidRDefault="00094FE0" w:rsidP="00681FF9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lang w:eastAsia="cs-CZ"/>
        </w:rPr>
        <w:t>Zhotovitel není oprávněn bez předchozího písemného souhlasu objednatele převádět jakékoliv pohledávky či práva nebo závazky vyplývající pro něj z této smlouvy na třetí osoby.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Smlouvu lze měnit nebo zrušit na základě dohody obou smluvních stran, a to pouze písemnou formou.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Práva a povinnosti smluvních stran se řídí ustanoveními této smlouvy a ustanoveními občanského zákoníku. V případě konfliktu mají přednost ustanovení této smlouvy, pokud nejsou v rozporu s  ustanoveními občanského zákoníku a dalšími právními předpisy.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 xml:space="preserve">Tato smlouva je vyhotovena ve 3 vyhotoveních, z nichž 2 vyhotovení obdrží objednatel a 1 zhotovitel. 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>Tato s</w:t>
      </w:r>
      <w:r w:rsidRPr="00681FF9">
        <w:rPr>
          <w:rFonts w:asciiTheme="majorHAnsi" w:eastAsia="Times New Roman" w:hAnsiTheme="majorHAnsi" w:cs="Arial"/>
          <w:sz w:val="24"/>
          <w:lang w:eastAsia="cs-CZ"/>
        </w:rPr>
        <w:t xml:space="preserve">mlouva bude v souladu s ustanovením § </w:t>
      </w:r>
      <w:r w:rsidR="00681FF9">
        <w:rPr>
          <w:rFonts w:asciiTheme="majorHAnsi" w:eastAsia="Times New Roman" w:hAnsiTheme="majorHAnsi" w:cs="Arial"/>
          <w:sz w:val="24"/>
          <w:lang w:eastAsia="cs-CZ"/>
        </w:rPr>
        <w:t xml:space="preserve">214 </w:t>
      </w:r>
      <w:r w:rsidRPr="00681FF9">
        <w:rPr>
          <w:rFonts w:asciiTheme="majorHAnsi" w:eastAsia="Times New Roman" w:hAnsiTheme="majorHAnsi" w:cs="Arial"/>
          <w:sz w:val="24"/>
          <w:lang w:eastAsia="cs-CZ"/>
        </w:rPr>
        <w:t>Z</w:t>
      </w:r>
      <w:r w:rsidR="00681FF9">
        <w:rPr>
          <w:rFonts w:asciiTheme="majorHAnsi" w:eastAsia="Times New Roman" w:hAnsiTheme="majorHAnsi" w:cs="Arial"/>
          <w:sz w:val="24"/>
          <w:lang w:eastAsia="cs-CZ"/>
        </w:rPr>
        <w:t>Z</w:t>
      </w:r>
      <w:r w:rsidRPr="00681FF9">
        <w:rPr>
          <w:rFonts w:asciiTheme="majorHAnsi" w:eastAsia="Times New Roman" w:hAnsiTheme="majorHAnsi" w:cs="Arial"/>
          <w:sz w:val="24"/>
          <w:lang w:eastAsia="cs-CZ"/>
        </w:rPr>
        <w:t xml:space="preserve">VZ zveřejněna na profilu objednatele včetně všech jejích příloh, případných změn a dodatků. 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lastRenderedPageBreak/>
        <w:t>Tato smlouva nabývá platnosti i účinnosti dnem jejího podpisu oběma smluvními stranami.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0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0"/>
          <w:lang w:eastAsia="cs-CZ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094FE0" w:rsidRPr="00681FF9" w:rsidRDefault="00094FE0" w:rsidP="00681FF9">
      <w:pPr>
        <w:numPr>
          <w:ilvl w:val="1"/>
          <w:numId w:val="12"/>
        </w:numPr>
        <w:tabs>
          <w:tab w:val="left" w:pos="7560"/>
        </w:tabs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>Nedílnou součástí této smlouvy o dílo je:</w:t>
      </w:r>
    </w:p>
    <w:p w:rsidR="00094FE0" w:rsidRPr="00681FF9" w:rsidRDefault="00094FE0" w:rsidP="00681FF9">
      <w:pPr>
        <w:tabs>
          <w:tab w:val="left" w:pos="993"/>
          <w:tab w:val="left" w:pos="7560"/>
        </w:tabs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681FF9">
        <w:rPr>
          <w:rFonts w:asciiTheme="majorHAnsi" w:eastAsia="Times New Roman" w:hAnsiTheme="majorHAnsi" w:cs="Arial"/>
          <w:sz w:val="24"/>
          <w:szCs w:val="24"/>
          <w:lang w:eastAsia="cs-CZ"/>
        </w:rPr>
        <w:tab/>
      </w:r>
      <w:r w:rsidRPr="00681FF9">
        <w:rPr>
          <w:rFonts w:asciiTheme="majorHAnsi" w:eastAsia="Times New Roman" w:hAnsiTheme="majorHAnsi" w:cs="Arial"/>
          <w:sz w:val="24"/>
          <w:lang w:eastAsia="cs-CZ"/>
        </w:rPr>
        <w:t>Příloha č. 1 - Oceněný položkový rozpočet – soupis prací a dodávek</w:t>
      </w:r>
    </w:p>
    <w:p w:rsidR="00094FE0" w:rsidRDefault="00094FE0" w:rsidP="00094FE0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both"/>
        <w:rPr>
          <w:rFonts w:asciiTheme="majorHAnsi" w:eastAsia="Times New Roman" w:hAnsiTheme="majorHAnsi" w:cs="Arial"/>
          <w:lang w:eastAsia="cs-CZ"/>
        </w:rPr>
      </w:pPr>
    </w:p>
    <w:p w:rsidR="00D42752" w:rsidRPr="00890308" w:rsidRDefault="00D42752" w:rsidP="00094FE0">
      <w:pPr>
        <w:tabs>
          <w:tab w:val="left" w:pos="1985"/>
          <w:tab w:val="left" w:pos="7560"/>
        </w:tabs>
        <w:suppressAutoHyphens/>
        <w:spacing w:before="60" w:after="0" w:line="240" w:lineRule="auto"/>
        <w:ind w:left="283" w:hanging="283"/>
        <w:jc w:val="both"/>
        <w:rPr>
          <w:rFonts w:asciiTheme="majorHAnsi" w:eastAsia="Times New Roman" w:hAnsiTheme="majorHAnsi" w:cs="Arial"/>
          <w:lang w:eastAsia="cs-CZ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094FE0" w:rsidRPr="00890308" w:rsidTr="00681FF9">
        <w:tc>
          <w:tcPr>
            <w:tcW w:w="5040" w:type="dxa"/>
            <w:shd w:val="clear" w:color="auto" w:fill="auto"/>
          </w:tcPr>
          <w:p w:rsidR="00094FE0" w:rsidRPr="00681FF9" w:rsidRDefault="00094FE0" w:rsidP="00094FE0">
            <w:pPr>
              <w:keepNext/>
              <w:spacing w:before="240" w:after="60" w:line="240" w:lineRule="auto"/>
              <w:outlineLvl w:val="1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V </w:t>
            </w:r>
            <w:r w:rsidR="005C5CFF"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Dětřichově</w:t>
            </w: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dne ......................…</w:t>
            </w:r>
            <w:proofErr w:type="gramEnd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.. 201</w:t>
            </w:r>
            <w:r w:rsidR="00E41842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7</w:t>
            </w:r>
          </w:p>
          <w:p w:rsid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  <w:t>Za objednatele:</w:t>
            </w: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Pr="00681FF9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094FE0" w:rsidRPr="00681FF9" w:rsidRDefault="00681FF9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_______________________________</w:t>
            </w:r>
          </w:p>
          <w:p w:rsidR="00094FE0" w:rsidRPr="00681FF9" w:rsidRDefault="005C5CFF" w:rsidP="00D42752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Daniel Kopecký</w:t>
            </w:r>
          </w:p>
          <w:p w:rsidR="00094FE0" w:rsidRPr="00681FF9" w:rsidRDefault="00094FE0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 xml:space="preserve">starosta </w:t>
            </w:r>
            <w:r w:rsidR="005C5CFF" w:rsidRPr="00681FF9"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  <w:t>obce</w:t>
            </w:r>
          </w:p>
        </w:tc>
        <w:tc>
          <w:tcPr>
            <w:tcW w:w="4860" w:type="dxa"/>
            <w:shd w:val="clear" w:color="auto" w:fill="auto"/>
          </w:tcPr>
          <w:p w:rsidR="00094FE0" w:rsidRPr="00681FF9" w:rsidRDefault="00094FE0" w:rsidP="00094FE0">
            <w:pPr>
              <w:keepNext/>
              <w:spacing w:before="240" w:after="60" w:line="240" w:lineRule="auto"/>
              <w:outlineLvl w:val="1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V ………………. </w:t>
            </w:r>
            <w:proofErr w:type="gramStart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dne ................…</w:t>
            </w:r>
            <w:proofErr w:type="gramEnd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.. 201</w:t>
            </w:r>
            <w:r w:rsidR="00E41842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  <w:p w:rsid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i/>
                <w:sz w:val="24"/>
                <w:szCs w:val="24"/>
                <w:lang w:eastAsia="cs-CZ"/>
              </w:rPr>
              <w:t>Za zhotovitele:</w:t>
            </w:r>
          </w:p>
          <w:p w:rsidR="00094FE0" w:rsidRPr="00681FF9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cs-CZ"/>
              </w:rPr>
            </w:pPr>
          </w:p>
          <w:p w:rsidR="00094FE0" w:rsidRDefault="00094FE0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D42752" w:rsidRDefault="00D42752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094FE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</w:p>
          <w:p w:rsidR="00681FF9" w:rsidRPr="00681FF9" w:rsidRDefault="00681FF9" w:rsidP="00D42752">
            <w:pPr>
              <w:shd w:val="clear" w:color="auto" w:fill="D9D9D9" w:themeFill="background1" w:themeFillShade="D9"/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_______________________________</w:t>
            </w:r>
          </w:p>
          <w:p w:rsidR="00094FE0" w:rsidRPr="00681FF9" w:rsidRDefault="00094FE0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 xml:space="preserve">/jméno oprávněné osoby, </w:t>
            </w:r>
          </w:p>
          <w:p w:rsidR="00094FE0" w:rsidRPr="00681FF9" w:rsidRDefault="00094FE0" w:rsidP="00D4275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</w:pPr>
            <w:proofErr w:type="spellStart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razítko+podpis</w:t>
            </w:r>
            <w:proofErr w:type="spellEnd"/>
            <w:r w:rsidRPr="00681FF9">
              <w:rPr>
                <w:rFonts w:asciiTheme="majorHAnsi" w:eastAsia="Times New Roman" w:hAnsiTheme="majorHAnsi" w:cs="Arial"/>
                <w:bCs/>
                <w:iCs/>
                <w:sz w:val="24"/>
                <w:szCs w:val="24"/>
                <w:lang w:eastAsia="cs-CZ"/>
              </w:rPr>
              <w:t>/</w:t>
            </w:r>
          </w:p>
        </w:tc>
      </w:tr>
    </w:tbl>
    <w:p w:rsidR="007F1E3F" w:rsidRPr="00890308" w:rsidRDefault="007F1E3F">
      <w:pPr>
        <w:rPr>
          <w:rFonts w:asciiTheme="majorHAnsi" w:hAnsiTheme="majorHAnsi"/>
        </w:rPr>
      </w:pPr>
    </w:p>
    <w:sectPr w:rsidR="007F1E3F" w:rsidRPr="00890308" w:rsidSect="00C77499">
      <w:footerReference w:type="default" r:id="rId8"/>
      <w:footerReference w:type="first" r:id="rId9"/>
      <w:pgSz w:w="11906" w:h="16838" w:code="9"/>
      <w:pgMar w:top="1134" w:right="1134" w:bottom="141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08" w:rsidRDefault="00890308" w:rsidP="00890308">
      <w:pPr>
        <w:spacing w:after="0" w:line="240" w:lineRule="auto"/>
      </w:pPr>
      <w:r>
        <w:separator/>
      </w:r>
    </w:p>
  </w:endnote>
  <w:endnote w:type="continuationSeparator" w:id="0">
    <w:p w:rsidR="00890308" w:rsidRDefault="00890308" w:rsidP="008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99" w:rsidRPr="005D272A" w:rsidRDefault="00C77499" w:rsidP="00C77499">
    <w:pPr>
      <w:rPr>
        <w:rFonts w:ascii="Arial Narrow" w:hAnsi="Arial Narrow"/>
        <w:b/>
        <w:sz w:val="20"/>
        <w:szCs w:val="20"/>
      </w:rPr>
    </w:pP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PAGE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E41842">
      <w:rPr>
        <w:rFonts w:ascii="Calibri" w:hAnsi="Calibri"/>
        <w:noProof/>
        <w:color w:val="333333"/>
        <w:sz w:val="16"/>
        <w:szCs w:val="16"/>
      </w:rPr>
      <w:t>8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Pr="00027D14">
      <w:rPr>
        <w:rFonts w:ascii="Calibri" w:hAnsi="Calibri"/>
        <w:color w:val="333333"/>
        <w:sz w:val="16"/>
        <w:szCs w:val="16"/>
      </w:rPr>
      <w:t>/</w:t>
    </w: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NUMPAGES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E41842">
      <w:rPr>
        <w:rFonts w:ascii="Calibri" w:hAnsi="Calibri"/>
        <w:noProof/>
        <w:color w:val="333333"/>
        <w:sz w:val="16"/>
        <w:szCs w:val="16"/>
      </w:rPr>
      <w:t>8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>
      <w:rPr>
        <w:rFonts w:ascii="Calibri" w:hAnsi="Calibri"/>
        <w:color w:val="333333"/>
        <w:sz w:val="16"/>
        <w:szCs w:val="16"/>
      </w:rPr>
      <w:t xml:space="preserve">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D42D66E" wp14:editId="08294661">
          <wp:extent cx="28956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99" w:rsidRPr="005D272A" w:rsidRDefault="00C77499" w:rsidP="00C77499">
    <w:pPr>
      <w:rPr>
        <w:rFonts w:ascii="Arial Narrow" w:hAnsi="Arial Narrow"/>
        <w:b/>
        <w:sz w:val="20"/>
        <w:szCs w:val="20"/>
      </w:rPr>
    </w:pP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PAGE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E41842">
      <w:rPr>
        <w:rFonts w:ascii="Calibri" w:hAnsi="Calibri"/>
        <w:noProof/>
        <w:color w:val="333333"/>
        <w:sz w:val="16"/>
        <w:szCs w:val="16"/>
      </w:rPr>
      <w:t>1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 w:rsidRPr="00027D14">
      <w:rPr>
        <w:rFonts w:ascii="Calibri" w:hAnsi="Calibri"/>
        <w:color w:val="333333"/>
        <w:sz w:val="16"/>
        <w:szCs w:val="16"/>
      </w:rPr>
      <w:t>/</w:t>
    </w:r>
    <w:r w:rsidRPr="00027D14">
      <w:rPr>
        <w:rFonts w:ascii="Calibri" w:hAnsi="Calibri"/>
        <w:color w:val="333333"/>
        <w:sz w:val="16"/>
        <w:szCs w:val="16"/>
      </w:rPr>
      <w:fldChar w:fldCharType="begin"/>
    </w:r>
    <w:r w:rsidRPr="00027D14">
      <w:rPr>
        <w:rFonts w:ascii="Calibri" w:hAnsi="Calibri"/>
        <w:color w:val="333333"/>
        <w:sz w:val="16"/>
        <w:szCs w:val="16"/>
      </w:rPr>
      <w:instrText xml:space="preserve"> NUMPAGES </w:instrText>
    </w:r>
    <w:r w:rsidRPr="00027D14">
      <w:rPr>
        <w:rFonts w:ascii="Calibri" w:hAnsi="Calibri"/>
        <w:color w:val="333333"/>
        <w:sz w:val="16"/>
        <w:szCs w:val="16"/>
      </w:rPr>
      <w:fldChar w:fldCharType="separate"/>
    </w:r>
    <w:r w:rsidR="00E41842">
      <w:rPr>
        <w:rFonts w:ascii="Calibri" w:hAnsi="Calibri"/>
        <w:noProof/>
        <w:color w:val="333333"/>
        <w:sz w:val="16"/>
        <w:szCs w:val="16"/>
      </w:rPr>
      <w:t>8</w:t>
    </w:r>
    <w:r w:rsidRPr="00027D14">
      <w:rPr>
        <w:rFonts w:ascii="Calibri" w:hAnsi="Calibri"/>
        <w:color w:val="333333"/>
        <w:sz w:val="16"/>
        <w:szCs w:val="16"/>
      </w:rPr>
      <w:fldChar w:fldCharType="end"/>
    </w:r>
    <w:r>
      <w:rPr>
        <w:rFonts w:ascii="Calibri" w:hAnsi="Calibri"/>
        <w:color w:val="333333"/>
        <w:sz w:val="16"/>
        <w:szCs w:val="16"/>
      </w:rPr>
      <w:t xml:space="preserve">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327DBA00" wp14:editId="1C5565C6">
          <wp:extent cx="2895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08" w:rsidRDefault="00890308" w:rsidP="00890308">
      <w:pPr>
        <w:spacing w:after="0" w:line="240" w:lineRule="auto"/>
      </w:pPr>
      <w:r>
        <w:separator/>
      </w:r>
    </w:p>
  </w:footnote>
  <w:footnote w:type="continuationSeparator" w:id="0">
    <w:p w:rsidR="00890308" w:rsidRDefault="00890308" w:rsidP="0089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2"/>
      </w:rPr>
    </w:lvl>
  </w:abstractNum>
  <w:abstractNum w:abstractNumId="1">
    <w:nsid w:val="05110395"/>
    <w:multiLevelType w:val="hybridMultilevel"/>
    <w:tmpl w:val="01961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47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23FCE"/>
    <w:multiLevelType w:val="multilevel"/>
    <w:tmpl w:val="8E14427A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F6967"/>
    <w:multiLevelType w:val="multilevel"/>
    <w:tmpl w:val="108E5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22285C"/>
    <w:multiLevelType w:val="multilevel"/>
    <w:tmpl w:val="3BF80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1A3B0C"/>
    <w:multiLevelType w:val="multilevel"/>
    <w:tmpl w:val="D700D2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BC2D32"/>
    <w:multiLevelType w:val="hybridMultilevel"/>
    <w:tmpl w:val="3F2A8A5A"/>
    <w:lvl w:ilvl="0" w:tplc="B09CC5E6">
      <w:numFmt w:val="bullet"/>
      <w:lvlText w:val="-"/>
      <w:lvlJc w:val="left"/>
      <w:pPr>
        <w:ind w:left="1146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BD308E"/>
    <w:multiLevelType w:val="hybridMultilevel"/>
    <w:tmpl w:val="10387A5A"/>
    <w:lvl w:ilvl="0" w:tplc="1592F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4CE6"/>
    <w:multiLevelType w:val="multilevel"/>
    <w:tmpl w:val="8CDAED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9">
    <w:nsid w:val="2EB04900"/>
    <w:multiLevelType w:val="multilevel"/>
    <w:tmpl w:val="E982D9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2D07FD"/>
    <w:multiLevelType w:val="multilevel"/>
    <w:tmpl w:val="108E5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312255"/>
    <w:multiLevelType w:val="multilevel"/>
    <w:tmpl w:val="BDDE63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DD36BE"/>
    <w:multiLevelType w:val="multilevel"/>
    <w:tmpl w:val="D700D2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F7632BC"/>
    <w:multiLevelType w:val="multilevel"/>
    <w:tmpl w:val="86A87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86439A"/>
    <w:multiLevelType w:val="multilevel"/>
    <w:tmpl w:val="12B64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B4946F6"/>
    <w:multiLevelType w:val="multilevel"/>
    <w:tmpl w:val="9A809CE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  <w:color w:val="auto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05322E0"/>
    <w:multiLevelType w:val="hybridMultilevel"/>
    <w:tmpl w:val="BD34F79A"/>
    <w:lvl w:ilvl="0" w:tplc="7F044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5822E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CFFC9C88">
      <w:start w:val="1"/>
      <w:numFmt w:val="lowerLetter"/>
      <w:lvlText w:val="(%3)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E351B"/>
    <w:multiLevelType w:val="multilevel"/>
    <w:tmpl w:val="378A2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A32B2B"/>
    <w:multiLevelType w:val="multilevel"/>
    <w:tmpl w:val="85DAA7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5E35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A044B7"/>
    <w:multiLevelType w:val="multilevel"/>
    <w:tmpl w:val="52F871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B0241C5"/>
    <w:multiLevelType w:val="multilevel"/>
    <w:tmpl w:val="BF549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2"/>
  </w:num>
  <w:num w:numId="5">
    <w:abstractNumId w:val="5"/>
  </w:num>
  <w:num w:numId="6">
    <w:abstractNumId w:val="12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7">
    <w:abstractNumId w:val="17"/>
  </w:num>
  <w:num w:numId="8">
    <w:abstractNumId w:val="8"/>
  </w:num>
  <w:num w:numId="9">
    <w:abstractNumId w:val="20"/>
  </w:num>
  <w:num w:numId="10">
    <w:abstractNumId w:val="9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E"/>
    <w:rsid w:val="00026DC6"/>
    <w:rsid w:val="00094FE0"/>
    <w:rsid w:val="000C1F1E"/>
    <w:rsid w:val="00131594"/>
    <w:rsid w:val="00173CC3"/>
    <w:rsid w:val="00174C1E"/>
    <w:rsid w:val="001977A0"/>
    <w:rsid w:val="0021309F"/>
    <w:rsid w:val="00236AA4"/>
    <w:rsid w:val="00245353"/>
    <w:rsid w:val="002716DD"/>
    <w:rsid w:val="002A7411"/>
    <w:rsid w:val="00312FF5"/>
    <w:rsid w:val="00371D40"/>
    <w:rsid w:val="00437B63"/>
    <w:rsid w:val="0049718B"/>
    <w:rsid w:val="004F2E94"/>
    <w:rsid w:val="00511BA1"/>
    <w:rsid w:val="00522D33"/>
    <w:rsid w:val="00561865"/>
    <w:rsid w:val="00586614"/>
    <w:rsid w:val="005C5CFF"/>
    <w:rsid w:val="006623ED"/>
    <w:rsid w:val="00681FF9"/>
    <w:rsid w:val="00717216"/>
    <w:rsid w:val="007307A5"/>
    <w:rsid w:val="007E672F"/>
    <w:rsid w:val="007F1E3F"/>
    <w:rsid w:val="007F73D5"/>
    <w:rsid w:val="007F7912"/>
    <w:rsid w:val="00843A62"/>
    <w:rsid w:val="00890308"/>
    <w:rsid w:val="008B0386"/>
    <w:rsid w:val="008D588D"/>
    <w:rsid w:val="00921403"/>
    <w:rsid w:val="009228CF"/>
    <w:rsid w:val="00A7618C"/>
    <w:rsid w:val="00B87B80"/>
    <w:rsid w:val="00B93449"/>
    <w:rsid w:val="00C245A2"/>
    <w:rsid w:val="00C24A4F"/>
    <w:rsid w:val="00C77499"/>
    <w:rsid w:val="00CB0D3F"/>
    <w:rsid w:val="00CB1B3F"/>
    <w:rsid w:val="00D02D7A"/>
    <w:rsid w:val="00D27552"/>
    <w:rsid w:val="00D42752"/>
    <w:rsid w:val="00D50413"/>
    <w:rsid w:val="00D94A80"/>
    <w:rsid w:val="00DA3E43"/>
    <w:rsid w:val="00E41842"/>
    <w:rsid w:val="00E4597B"/>
    <w:rsid w:val="00E655CD"/>
    <w:rsid w:val="00F41F61"/>
    <w:rsid w:val="00F4768C"/>
    <w:rsid w:val="00F97B9D"/>
    <w:rsid w:val="00FD735C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uiPriority w:val="9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36A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6AA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hlav">
    <w:name w:val="header"/>
    <w:basedOn w:val="Normln"/>
    <w:link w:val="Zhlav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08"/>
  </w:style>
  <w:style w:type="paragraph" w:styleId="Zpat">
    <w:name w:val="footer"/>
    <w:basedOn w:val="Normln"/>
    <w:link w:val="Zpat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08"/>
  </w:style>
  <w:style w:type="paragraph" w:customStyle="1" w:styleId="Tabellentext">
    <w:name w:val="Tabellentext"/>
    <w:basedOn w:val="Normln"/>
    <w:rsid w:val="00CB1B3F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character" w:customStyle="1" w:styleId="OdstavecseseznamemChar">
    <w:name w:val="Odstavec se seznamem Char"/>
    <w:link w:val="Odstavecseseznamem"/>
    <w:uiPriority w:val="34"/>
    <w:rsid w:val="00CB1B3F"/>
  </w:style>
  <w:style w:type="paragraph" w:styleId="Textbubliny">
    <w:name w:val="Balloon Text"/>
    <w:basedOn w:val="Normln"/>
    <w:link w:val="TextbublinyChar"/>
    <w:uiPriority w:val="99"/>
    <w:semiHidden/>
    <w:unhideWhenUsed/>
    <w:rsid w:val="00C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A4"/>
  </w:style>
  <w:style w:type="paragraph" w:styleId="Nadpis1">
    <w:name w:val="heading 1"/>
    <w:basedOn w:val="Normln"/>
    <w:link w:val="Nadpis1Char"/>
    <w:uiPriority w:val="9"/>
    <w:qFormat/>
    <w:rsid w:val="00236AA4"/>
    <w:pPr>
      <w:jc w:val="center"/>
      <w:outlineLvl w:val="0"/>
    </w:pPr>
    <w:rPr>
      <w:b/>
      <w:color w:val="0000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6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36AA4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36AA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6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6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6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6AA4"/>
    <w:rPr>
      <w:b/>
      <w:color w:val="0000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6AA4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6AA4"/>
    <w:rPr>
      <w:rFonts w:eastAsiaTheme="majorEastAsia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6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6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36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36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236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uiPriority w:val="22"/>
    <w:qFormat/>
    <w:rsid w:val="00236AA4"/>
    <w:rPr>
      <w:b/>
      <w:bCs/>
    </w:rPr>
  </w:style>
  <w:style w:type="character" w:styleId="Zvraznn">
    <w:name w:val="Emphasis"/>
    <w:uiPriority w:val="20"/>
    <w:qFormat/>
    <w:rsid w:val="00236AA4"/>
    <w:rPr>
      <w:i/>
      <w:iCs/>
    </w:rPr>
  </w:style>
  <w:style w:type="paragraph" w:styleId="Bezmezer">
    <w:name w:val="No Spacing"/>
    <w:basedOn w:val="Normln"/>
    <w:uiPriority w:val="1"/>
    <w:qFormat/>
    <w:rsid w:val="00236AA4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36A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36AA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6AA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236AA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3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36AA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3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3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6AA4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dpis10">
    <w:name w:val="Nadpis1"/>
    <w:basedOn w:val="Normln"/>
    <w:link w:val="Nadpis1Char0"/>
    <w:qFormat/>
    <w:rsid w:val="00236AA4"/>
    <w:pPr>
      <w:jc w:val="center"/>
    </w:pPr>
    <w:rPr>
      <w:b/>
      <w:color w:val="000099"/>
      <w:sz w:val="24"/>
      <w:szCs w:val="24"/>
    </w:rPr>
  </w:style>
  <w:style w:type="character" w:customStyle="1" w:styleId="Nadpis1Char0">
    <w:name w:val="Nadpis1 Char"/>
    <w:basedOn w:val="Standardnpsmoodstavce"/>
    <w:link w:val="Nadpis10"/>
    <w:rsid w:val="00236AA4"/>
    <w:rPr>
      <w:b/>
      <w:color w:val="000099"/>
      <w:sz w:val="24"/>
      <w:szCs w:val="24"/>
    </w:rPr>
  </w:style>
  <w:style w:type="paragraph" w:customStyle="1" w:styleId="Styl1">
    <w:name w:val="Styl1"/>
    <w:basedOn w:val="Obsah4"/>
    <w:link w:val="Styl1Char"/>
    <w:qFormat/>
    <w:rsid w:val="00236AA4"/>
    <w:pPr>
      <w:tabs>
        <w:tab w:val="right" w:leader="dot" w:pos="9062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236AA4"/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236AA4"/>
    <w:pPr>
      <w:spacing w:after="100"/>
      <w:ind w:left="660"/>
    </w:pPr>
  </w:style>
  <w:style w:type="paragraph" w:styleId="Zhlav">
    <w:name w:val="header"/>
    <w:basedOn w:val="Normln"/>
    <w:link w:val="Zhlav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308"/>
  </w:style>
  <w:style w:type="paragraph" w:styleId="Zpat">
    <w:name w:val="footer"/>
    <w:basedOn w:val="Normln"/>
    <w:link w:val="ZpatChar"/>
    <w:uiPriority w:val="99"/>
    <w:unhideWhenUsed/>
    <w:rsid w:val="0089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308"/>
  </w:style>
  <w:style w:type="paragraph" w:customStyle="1" w:styleId="Tabellentext">
    <w:name w:val="Tabellentext"/>
    <w:basedOn w:val="Normln"/>
    <w:rsid w:val="00CB1B3F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character" w:customStyle="1" w:styleId="OdstavecseseznamemChar">
    <w:name w:val="Odstavec se seznamem Char"/>
    <w:link w:val="Odstavecseseznamem"/>
    <w:uiPriority w:val="34"/>
    <w:rsid w:val="00CB1B3F"/>
  </w:style>
  <w:style w:type="paragraph" w:styleId="Textbubliny">
    <w:name w:val="Balloon Text"/>
    <w:basedOn w:val="Normln"/>
    <w:link w:val="TextbublinyChar"/>
    <w:uiPriority w:val="99"/>
    <w:semiHidden/>
    <w:unhideWhenUsed/>
    <w:rsid w:val="00C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2744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Vokas Libor</cp:lastModifiedBy>
  <cp:revision>21</cp:revision>
  <dcterms:created xsi:type="dcterms:W3CDTF">2016-07-10T21:52:00Z</dcterms:created>
  <dcterms:modified xsi:type="dcterms:W3CDTF">2017-03-03T19:28:00Z</dcterms:modified>
</cp:coreProperties>
</file>